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35A07">
      <w:pPr>
        <w:keepNext/>
        <w:spacing w:before="200" w:after="120"/>
      </w:pPr>
      <w:r>
        <w:rPr>
          <w:rFonts w:ascii="Times New Roman" w:hAnsi="Times New Roman" w:eastAsia="微软雅黑"/>
          <w:b/>
          <w:color w:val="000000"/>
          <w:sz w:val="26"/>
        </w:rPr>
        <w:t>Part B</w:t>
      </w:r>
    </w:p>
    <w:p w14:paraId="501C4A77">
      <w:pPr>
        <w:spacing w:after="60" w:line="276" w:lineRule="auto"/>
      </w:pPr>
      <w:r>
        <w:rPr>
          <w:rFonts w:ascii="Times New Roman" w:hAnsi="Times New Roman" w:eastAsia="微软雅黑"/>
          <w:b/>
          <w:color w:val="000000"/>
          <w:sz w:val="21"/>
        </w:rPr>
        <w:t>Directions:</w:t>
      </w:r>
    </w:p>
    <w:p w14:paraId="0D6EDDD4">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2A65A619">
      <w:pPr>
        <w:spacing w:after="200" w:line="283" w:lineRule="auto"/>
      </w:pPr>
      <w:r>
        <w:rPr>
          <w:rFonts w:ascii="Times New Roman" w:hAnsi="Times New Roman" w:eastAsia="微软雅黑"/>
          <w:b w:val="0"/>
          <w:color w:val="000000"/>
          <w:sz w:val="21"/>
        </w:rPr>
        <w:t>In America, any early effects are likely to be diluted by the economy’s vastness and variegation. Better places to look for hints of trickle-down chiponomics are South Korea, the world leader in advanced memory chips necessary to manage machine-learning workloads, and Taiwan, the global powerhouse in all other AI silicon.</w:t>
      </w:r>
    </w:p>
    <w:p w14:paraId="452D25F4">
      <w:pPr>
        <w:spacing w:after="200" w:line="283" w:lineRule="auto"/>
      </w:pPr>
      <w:r>
        <w:rPr>
          <w:rFonts w:ascii="Times New Roman" w:hAnsi="Times New Roman" w:eastAsia="微软雅黑"/>
          <w:b w:val="0"/>
          <w:color w:val="000000"/>
          <w:sz w:val="21"/>
        </w:rPr>
        <w:t xml:space="preserve">The AI bonanza is already evident in the two countries’ headline statistics. Swelling exports have lifted annual GDP growth in South Korea to a brisk 4% or so and to a blistering 12% in Taiwan. </w:t>
      </w:r>
      <w:r>
        <w:rPr>
          <w:rFonts w:ascii="Times New Roman" w:hAnsi="Times New Roman" w:eastAsia="微软雅黑"/>
          <w:b/>
          <w:color w:val="000000"/>
          <w:sz w:val="21"/>
        </w:rPr>
        <w:t>(41)</w:t>
      </w:r>
    </w:p>
    <w:p w14:paraId="265763B9">
      <w:pPr>
        <w:spacing w:after="200" w:line="283" w:lineRule="auto"/>
      </w:pPr>
      <w:r>
        <w:rPr>
          <w:rFonts w:ascii="Times New Roman" w:hAnsi="Times New Roman" w:eastAsia="微软雅黑"/>
          <w:b w:val="0"/>
          <w:color w:val="000000"/>
          <w:sz w:val="21"/>
        </w:rPr>
        <w:t>The economic windfall is most obvious in Taiwan. TSMC, the national champion which manufactures nearly all of the world’s AI chips, increased production from 10m standard silicon wafers in 2019 to 15m last year. Its capital expenditure rose even faster in that period, from $15bn to $41bn. This has helped push up Taiwanese real fixed capital formation by nearly 40% since late 2023.</w:t>
      </w:r>
    </w:p>
    <w:p w14:paraId="3839F00C">
      <w:pPr>
        <w:spacing w:after="200" w:line="283" w:lineRule="auto"/>
      </w:pPr>
      <w:r>
        <w:rPr>
          <w:rFonts w:ascii="Times New Roman" w:hAnsi="Times New Roman" w:eastAsia="微软雅黑"/>
          <w:b w:val="0"/>
          <w:color w:val="000000"/>
          <w:sz w:val="21"/>
        </w:rPr>
        <w:t xml:space="preserve">Resources are pouring into the semiconductor supply chain. The share of Taiwanese employees making electronic components or computers is nearly 11%, the highest since 2016. Pay rose first in Taiwan’s electronics sector, but since 2024 rises have spread across the workforce. Average nominal wages are now growing at 3% a year in Taiwan, compared with a pre-pandemic trend of 1.9%. </w:t>
      </w:r>
      <w:r>
        <w:rPr>
          <w:rFonts w:ascii="Times New Roman" w:hAnsi="Times New Roman" w:eastAsia="微软雅黑"/>
          <w:b/>
          <w:color w:val="000000"/>
          <w:sz w:val="21"/>
        </w:rPr>
        <w:t>(42)</w:t>
      </w:r>
    </w:p>
    <w:p w14:paraId="583CFA6A">
      <w:pPr>
        <w:spacing w:after="200" w:line="283" w:lineRule="auto"/>
      </w:pPr>
      <w:r>
        <w:rPr>
          <w:rFonts w:ascii="Times New Roman" w:hAnsi="Times New Roman" w:eastAsia="微软雅黑"/>
          <w:b w:val="0"/>
          <w:color w:val="000000"/>
          <w:sz w:val="21"/>
        </w:rPr>
        <w:t>The government, for its part, is preparing to spend the swelling tax take from its silicon goose on handouts. Social-welfare spending is set to rise by 40% in 2027. Last month Lai Ching-te, the president, proposed giving all Taiwanese citizens an “AI dividend” of around $300, at a total cost of $7bn (or around 6% of projected revenue). A new child benefit is in the works, too.</w:t>
      </w:r>
    </w:p>
    <w:p w14:paraId="593975B2">
      <w:pPr>
        <w:spacing w:after="200" w:line="283" w:lineRule="auto"/>
      </w:pPr>
      <w:r>
        <w:rPr>
          <w:rFonts w:ascii="Times New Roman" w:hAnsi="Times New Roman" w:eastAsia="微软雅黑"/>
          <w:b w:val="0"/>
          <w:color w:val="000000"/>
          <w:sz w:val="21"/>
        </w:rPr>
        <w:t xml:space="preserve">Things are less clear-cut in South Korea. That is chiefly because demand for South Korean silicon increased all of a sudden, rather than gradually. </w:t>
      </w:r>
      <w:r>
        <w:rPr>
          <w:rFonts w:ascii="Times New Roman" w:hAnsi="Times New Roman" w:eastAsia="微软雅黑"/>
          <w:b/>
          <w:color w:val="000000"/>
          <w:sz w:val="21"/>
        </w:rPr>
        <w:t>(43)</w:t>
      </w:r>
    </w:p>
    <w:p w14:paraId="1DBD3356">
      <w:pPr>
        <w:spacing w:after="200" w:line="283" w:lineRule="auto"/>
      </w:pPr>
      <w:r>
        <w:rPr>
          <w:rFonts w:ascii="Times New Roman" w:hAnsi="Times New Roman" w:eastAsia="微软雅黑"/>
          <w:b w:val="0"/>
          <w:color w:val="000000"/>
          <w:sz w:val="21"/>
        </w:rPr>
        <w:t>The government-backed $500bn investment plan both firms have now signed up to has yet to be reflected in their outlays. In the past three years or so real fixed capital formation has risen by just 3%.</w:t>
      </w:r>
    </w:p>
    <w:p w14:paraId="33E44AF2">
      <w:pPr>
        <w:spacing w:after="200" w:line="283" w:lineRule="auto"/>
      </w:pPr>
      <w:r>
        <w:rPr>
          <w:rFonts w:ascii="Times New Roman" w:hAnsi="Times New Roman" w:eastAsia="微软雅黑"/>
          <w:b w:val="0"/>
          <w:color w:val="000000"/>
          <w:sz w:val="21"/>
        </w:rPr>
        <w:t xml:space="preserve">Most of the past year’s rise in exports has thus come not from higher volumes, as in Taiwan, but from much higher prices. Economy-wide export prices have risen 57% over the past year in South Korea. </w:t>
      </w:r>
      <w:r>
        <w:rPr>
          <w:rFonts w:ascii="Times New Roman" w:hAnsi="Times New Roman" w:eastAsia="微软雅黑"/>
          <w:b/>
          <w:color w:val="000000"/>
          <w:sz w:val="21"/>
        </w:rPr>
        <w:t>(44)</w:t>
      </w:r>
    </w:p>
    <w:p w14:paraId="05399932">
      <w:pPr>
        <w:spacing w:after="200" w:line="283" w:lineRule="auto"/>
      </w:pPr>
      <w:r>
        <w:rPr>
          <w:rFonts w:ascii="Times New Roman" w:hAnsi="Times New Roman" w:eastAsia="微软雅黑"/>
          <w:b w:val="0"/>
          <w:color w:val="000000"/>
          <w:sz w:val="21"/>
        </w:rPr>
        <w:t>In nominal terms, average annual wage growth across the economy has fallen below the pre-pandemic pace of 3.5% (see chart 2). The “wealth effect”, whereby a stock-market rally makes share-owning consumers feel flush and spend more, is also muted. Although South Korea’s KOSPI stock-market has more than doubled in value since 2023, a study by South Korea’s central bank estimates that a dollar in equity gains translates to just one extra cent of consumer spending, compared with five cents, plus or minus, for stock-loving American households.</w:t>
      </w:r>
    </w:p>
    <w:p w14:paraId="66C29DD8">
      <w:pPr>
        <w:spacing w:after="200" w:line="283" w:lineRule="auto"/>
      </w:pPr>
      <w:r>
        <w:rPr>
          <w:rFonts w:ascii="Times New Roman" w:hAnsi="Times New Roman" w:eastAsia="微软雅黑"/>
          <w:b w:val="0"/>
          <w:color w:val="000000"/>
          <w:sz w:val="21"/>
        </w:rPr>
        <w:t xml:space="preserve">South Korea’s government is also stingier. Despite projections of a 50% rise in tax revenue in 2027, it is not planning to shower citizens with cash. </w:t>
      </w:r>
      <w:r>
        <w:rPr>
          <w:rFonts w:ascii="Times New Roman" w:hAnsi="Times New Roman" w:eastAsia="微软雅黑"/>
          <w:b/>
          <w:color w:val="000000"/>
          <w:sz w:val="21"/>
        </w:rPr>
        <w:t>(45)</w:t>
      </w:r>
    </w:p>
    <w:p w14:paraId="25DC7F96">
      <w:r>
        <w:br w:type="page"/>
      </w:r>
    </w:p>
    <w:p w14:paraId="1C0ACCAC">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Private consumption, which was stagnant a year ago, is accelerating. In the second quarter of this year it accounted for around a fifth of the increase in Taiwanese GDP and roughly a third of South Korea’s.</w:t>
      </w:r>
    </w:p>
    <w:p w14:paraId="580B2337">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Paul Cavey of East Asia Econ points to the “Balassa-Samuelson effect”, whereby high productivity in an industry producing tradable goods bids up the cost of labour across the board.</w:t>
      </w:r>
    </w:p>
    <w:p w14:paraId="24D91F53">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As Samsung and SK Hynix ratchet up their investments, production will increase and eventually lift wages for everyone, as happened in Taiwan.</w:t>
      </w:r>
    </w:p>
    <w:p w14:paraId="32283C2B">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Between 2023 and 2025, Samsung Electronics actually trimmed its capital expenditure, while SK Hynix tripled its spending but from a relatively piddling $6bn a year.</w:t>
      </w:r>
    </w:p>
    <w:p w14:paraId="1EA72A16">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Immediate benefits are therefore limited to the less than 1% of South Korean workers who toil in the chip industry and the shareholders of the memory duo and their suppliers.</w:t>
      </w:r>
    </w:p>
    <w:p w14:paraId="23898E0A">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Some 70% of the windfall will be saved, reckons Capital Economics, and the money will mostly be channelled towards deficit reduction and long-term investments.</w:t>
      </w:r>
    </w:p>
    <w:p w14:paraId="0B4D3DDA">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Boosters insist that data-centre investment is already lifting output in every American industry at the same speed.</w:t>
      </w:r>
    </w:p>
    <w:p w14:paraId="2A90699B">
      <w:r>
        <w:br w:type="page"/>
      </w:r>
    </w:p>
    <w:p w14:paraId="7E1FF39E">
      <w:pPr>
        <w:keepNext/>
        <w:spacing w:before="280" w:after="120"/>
      </w:pPr>
      <w:r>
        <w:rPr>
          <w:rFonts w:ascii="Times New Roman" w:hAnsi="Times New Roman" w:eastAsia="微软雅黑"/>
          <w:b/>
          <w:color w:val="000000"/>
          <w:sz w:val="28"/>
        </w:rPr>
        <w:t>答案与解析</w:t>
      </w:r>
    </w:p>
    <w:p w14:paraId="06A7C0E4">
      <w:pPr>
        <w:keepNext/>
        <w:spacing w:before="200" w:after="120"/>
      </w:pPr>
      <w:r>
        <w:rPr>
          <w:rFonts w:ascii="Times New Roman" w:hAnsi="Times New Roman" w:eastAsia="微软雅黑"/>
          <w:b/>
          <w:color w:val="000000"/>
          <w:sz w:val="24"/>
        </w:rPr>
        <w:t>答案速查</w:t>
      </w:r>
    </w:p>
    <w:p w14:paraId="6992B14B">
      <w:pPr>
        <w:spacing w:after="200" w:line="276" w:lineRule="auto"/>
      </w:pPr>
      <w:r>
        <w:rPr>
          <w:rFonts w:ascii="Times New Roman" w:hAnsi="Times New Roman" w:eastAsia="微软雅黑"/>
          <w:b/>
          <w:color w:val="000000"/>
          <w:sz w:val="21"/>
        </w:rPr>
        <w:t>41. A    42. B    43. D    44. E    45. F</w:t>
      </w:r>
    </w:p>
    <w:p w14:paraId="585CD497">
      <w:pPr>
        <w:keepNext/>
        <w:spacing w:before="200" w:after="120"/>
      </w:pPr>
      <w:r>
        <w:rPr>
          <w:rFonts w:ascii="Times New Roman" w:hAnsi="Times New Roman" w:eastAsia="微软雅黑"/>
          <w:b/>
          <w:color w:val="000000"/>
          <w:sz w:val="24"/>
        </w:rPr>
        <w:t>文章与命题分析</w:t>
      </w:r>
    </w:p>
    <w:p w14:paraId="5B7C1096">
      <w:pPr>
        <w:spacing w:after="80" w:line="276" w:lineRule="auto"/>
      </w:pPr>
      <w:r>
        <w:rPr>
          <w:rFonts w:ascii="Times New Roman" w:hAnsi="Times New Roman" w:eastAsia="微软雅黑"/>
          <w:b w:val="0"/>
          <w:color w:val="000000"/>
          <w:sz w:val="21"/>
        </w:rPr>
        <w:t>文章主旨：AI 芯片繁荣正在给中国台湾和韩国带来红利，但两地扩散路径不同：台湾已经出现投资、工资和政策再分配的联动，韩国的收益仍集中在价格、股东和少数工人。</w:t>
      </w:r>
    </w:p>
    <w:p w14:paraId="69E052C5">
      <w:pPr>
        <w:spacing w:after="80" w:line="276" w:lineRule="auto"/>
      </w:pPr>
      <w:r>
        <w:rPr>
          <w:rFonts w:ascii="Times New Roman" w:hAnsi="Times New Roman" w:eastAsia="微软雅黑"/>
          <w:b w:val="0"/>
          <w:color w:val="000000"/>
          <w:sz w:val="21"/>
        </w:rPr>
        <w:t>结构脉络：选择比较样本 → 台湾总体升温 → 投资和工资扩散 → 政府分红 → 韩国节奏滞后 → 价格型出口 → 消费与财政保守 → 后续可能更持久。</w:t>
      </w:r>
    </w:p>
    <w:p w14:paraId="561E8FC4">
      <w:pPr>
        <w:spacing w:after="80" w:line="276" w:lineRule="auto"/>
      </w:pPr>
      <w:r>
        <w:rPr>
          <w:rFonts w:ascii="Times New Roman" w:hAnsi="Times New Roman" w:eastAsia="微软雅黑"/>
          <w:b w:val="0"/>
          <w:color w:val="000000"/>
          <w:sz w:val="21"/>
        </w:rPr>
        <w:t>题型适配：文章不断在“数据—机制—反例”之间推进，空格前后有 GDP、wages、prices、windfall 等强线索，适合7选5。</w:t>
      </w:r>
    </w:p>
    <w:p w14:paraId="03C4F145">
      <w:pPr>
        <w:spacing w:after="200" w:line="276" w:lineRule="auto"/>
      </w:pPr>
      <w:r>
        <w:rPr>
          <w:rFonts w:ascii="Times New Roman" w:hAnsi="Times New Roman" w:eastAsia="微软雅黑"/>
          <w:b w:val="0"/>
          <w:color w:val="000000"/>
          <w:sz w:val="21"/>
        </w:rPr>
        <w:t>解题入口：先分清 Taiwan 与 South Korea 两个论证域，再看每空前后是否谈论增长、工资、资本支出、价格或财政。</w:t>
      </w:r>
    </w:p>
    <w:p w14:paraId="16B4AA8F">
      <w:pPr>
        <w:keepNext/>
        <w:spacing w:before="200" w:after="120"/>
      </w:pPr>
      <w:r>
        <w:rPr>
          <w:rFonts w:ascii="Times New Roman" w:hAnsi="Times New Roman" w:eastAsia="微软雅黑"/>
          <w:b/>
          <w:color w:val="000000"/>
          <w:sz w:val="24"/>
        </w:rPr>
        <w:t>选项总览</w:t>
      </w:r>
    </w:p>
    <w:p w14:paraId="2B7C8A4E">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补充 private consumption 回升及其对 GDP 增长的贡献。</w:t>
      </w:r>
    </w:p>
    <w:p w14:paraId="1C5B420F">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解释工资普涨背后的经济学机制。</w:t>
      </w:r>
    </w:p>
    <w:p w14:paraId="53104616">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写未来投资增加可能带来的普遍工资上涨。</w:t>
      </w:r>
    </w:p>
    <w:p w14:paraId="4C592E40">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写韩国两大芯片厂资本支出的实际节奏。</w:t>
      </w:r>
    </w:p>
    <w:p w14:paraId="2FF66C42">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写价格上涨带来的直接受益范围仍然有限。</w:t>
      </w:r>
    </w:p>
    <w:p w14:paraId="53626D43">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写韩国把意外财政收入用于储蓄和长期投资。</w:t>
      </w:r>
    </w:p>
    <w:p w14:paraId="1A342CDC">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把 AI 红利夸大为美国各行业同步受益。</w:t>
      </w:r>
    </w:p>
    <w:p w14:paraId="5DB095EB">
      <w:pPr>
        <w:spacing w:after="120" w:line="276" w:lineRule="auto"/>
      </w:pPr>
    </w:p>
    <w:p w14:paraId="32F99134">
      <w:pPr>
        <w:keepNext/>
        <w:spacing w:before="200" w:after="120"/>
      </w:pPr>
      <w:r>
        <w:rPr>
          <w:rFonts w:ascii="Times New Roman" w:hAnsi="Times New Roman" w:eastAsia="微软雅黑"/>
          <w:b/>
          <w:color w:val="000000"/>
          <w:sz w:val="23"/>
        </w:rPr>
        <w:t>41.【答案】A</w:t>
      </w:r>
    </w:p>
    <w:p w14:paraId="61C64A22">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第二段段末；第三段转向台湾投资。</w:t>
      </w:r>
    </w:p>
    <w:p w14:paraId="5F74246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前文说 headline statistics 已经显现 AI 红利，并以 GDP growth 收束；【A】继续给出 private consumption 和两国 GDP 贡献数据，正好把“总体数据”落到消费侧。第三段随即聚焦 Taiwan 的资本形成。</w:t>
      </w:r>
    </w:p>
    <w:p w14:paraId="2A5EF277">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5C601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2F9CDFA8">
            <w:pPr>
              <w:spacing w:after="40"/>
            </w:pPr>
            <w:r>
              <w:rPr>
                <w:rFonts w:ascii="Times New Roman" w:hAnsi="Times New Roman" w:eastAsia="微软雅黑"/>
                <w:b/>
                <w:color w:val="FFFFFF"/>
                <w:sz w:val="20"/>
              </w:rPr>
              <w:t>选项</w:t>
            </w:r>
          </w:p>
        </w:tc>
        <w:tc>
          <w:tcPr>
            <w:tcW w:w="1224" w:type="dxa"/>
            <w:shd w:val="clear" w:color="auto" w:fill="1F4E79"/>
          </w:tcPr>
          <w:p w14:paraId="4445E612">
            <w:pPr>
              <w:spacing w:after="40"/>
            </w:pPr>
            <w:r>
              <w:rPr>
                <w:rFonts w:ascii="Times New Roman" w:hAnsi="Times New Roman" w:eastAsia="微软雅黑"/>
                <w:b/>
                <w:color w:val="FFFFFF"/>
                <w:sz w:val="20"/>
              </w:rPr>
              <w:t>判断</w:t>
            </w:r>
          </w:p>
        </w:tc>
        <w:tc>
          <w:tcPr>
            <w:tcW w:w="7344" w:type="dxa"/>
            <w:shd w:val="clear" w:color="auto" w:fill="1F4E79"/>
          </w:tcPr>
          <w:p w14:paraId="6F87C5AE">
            <w:pPr>
              <w:spacing w:after="40"/>
            </w:pPr>
            <w:r>
              <w:rPr>
                <w:rFonts w:ascii="Times New Roman" w:hAnsi="Times New Roman" w:eastAsia="微软雅黑"/>
                <w:b/>
                <w:color w:val="FFFFFF"/>
                <w:sz w:val="20"/>
              </w:rPr>
              <w:t>理由</w:t>
            </w:r>
          </w:p>
        </w:tc>
      </w:tr>
      <w:tr w14:paraId="12ED203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7C25FE4">
            <w:pPr>
              <w:spacing w:after="40" w:line="259" w:lineRule="auto"/>
            </w:pPr>
            <w:r>
              <w:rPr>
                <w:rFonts w:ascii="Times New Roman" w:hAnsi="Times New Roman" w:eastAsia="微软雅黑"/>
                <w:b w:val="0"/>
                <w:color w:val="000000"/>
                <w:sz w:val="19"/>
              </w:rPr>
              <w:t>A</w:t>
            </w:r>
          </w:p>
        </w:tc>
        <w:tc>
          <w:tcPr>
            <w:tcW w:w="1224" w:type="dxa"/>
          </w:tcPr>
          <w:p w14:paraId="73EF1374">
            <w:pPr>
              <w:spacing w:after="40" w:line="259" w:lineRule="auto"/>
            </w:pPr>
            <w:r>
              <w:rPr>
                <w:rFonts w:ascii="Times New Roman" w:hAnsi="Times New Roman" w:eastAsia="微软雅黑"/>
                <w:b w:val="0"/>
                <w:color w:val="000000"/>
                <w:sz w:val="19"/>
              </w:rPr>
              <w:t>正确</w:t>
            </w:r>
          </w:p>
        </w:tc>
        <w:tc>
          <w:tcPr>
            <w:tcW w:w="7344" w:type="dxa"/>
          </w:tcPr>
          <w:p w14:paraId="0A48203C">
            <w:pPr>
              <w:spacing w:after="40" w:line="259" w:lineRule="auto"/>
            </w:pPr>
            <w:r>
              <w:rPr>
                <w:rFonts w:ascii="Times New Roman" w:hAnsi="Times New Roman" w:eastAsia="微软雅黑"/>
                <w:b w:val="0"/>
                <w:color w:val="000000"/>
                <w:sz w:val="19"/>
              </w:rPr>
              <w:t>承接总体增长数据，补充消费与 GDP 细节。</w:t>
            </w:r>
          </w:p>
        </w:tc>
      </w:tr>
      <w:tr w14:paraId="471829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C27609D">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76BEC6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D6A6735">
            <w:pPr>
              <w:spacing w:after="40" w:line="259" w:lineRule="auto"/>
            </w:pPr>
            <w:r>
              <w:rPr>
                <w:rFonts w:ascii="Times New Roman" w:hAnsi="Times New Roman" w:eastAsia="微软雅黑"/>
                <w:b w:val="0"/>
                <w:color w:val="000000"/>
                <w:sz w:val="19"/>
              </w:rPr>
              <w:t>工资机制属于第42空。</w:t>
            </w:r>
          </w:p>
        </w:tc>
      </w:tr>
      <w:tr w14:paraId="556ECC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38F26C9">
            <w:pPr>
              <w:spacing w:after="40" w:line="259" w:lineRule="auto"/>
            </w:pPr>
            <w:r>
              <w:rPr>
                <w:rFonts w:ascii="Times New Roman" w:hAnsi="Times New Roman" w:eastAsia="微软雅黑"/>
                <w:b w:val="0"/>
                <w:color w:val="000000"/>
                <w:sz w:val="19"/>
              </w:rPr>
              <w:t>C</w:t>
            </w:r>
          </w:p>
        </w:tc>
        <w:tc>
          <w:tcPr>
            <w:tcW w:w="1224" w:type="dxa"/>
          </w:tcPr>
          <w:p w14:paraId="688D8259">
            <w:pPr>
              <w:spacing w:after="40" w:line="259" w:lineRule="auto"/>
            </w:pPr>
            <w:r>
              <w:rPr>
                <w:rFonts w:ascii="Times New Roman" w:hAnsi="Times New Roman" w:eastAsia="微软雅黑"/>
                <w:b w:val="0"/>
                <w:color w:val="000000"/>
                <w:sz w:val="19"/>
              </w:rPr>
              <w:t>不能选</w:t>
            </w:r>
          </w:p>
        </w:tc>
        <w:tc>
          <w:tcPr>
            <w:tcW w:w="7344" w:type="dxa"/>
          </w:tcPr>
          <w:p w14:paraId="6B4A4EA9">
            <w:pPr>
              <w:spacing w:after="40" w:line="259" w:lineRule="auto"/>
            </w:pPr>
            <w:r>
              <w:rPr>
                <w:rFonts w:ascii="Times New Roman" w:hAnsi="Times New Roman" w:eastAsia="微软雅黑"/>
                <w:b w:val="0"/>
                <w:color w:val="000000"/>
                <w:sz w:val="19"/>
              </w:rPr>
              <w:t>未来工资普涨属于结尾判断，不能回填此处。</w:t>
            </w:r>
          </w:p>
        </w:tc>
      </w:tr>
      <w:tr w14:paraId="764D44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CD40B56">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781BF4D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5BD1421">
            <w:pPr>
              <w:spacing w:after="40" w:line="259" w:lineRule="auto"/>
            </w:pPr>
            <w:r>
              <w:rPr>
                <w:rFonts w:ascii="Times New Roman" w:hAnsi="Times New Roman" w:eastAsia="微软雅黑"/>
                <w:b w:val="0"/>
                <w:color w:val="000000"/>
                <w:sz w:val="19"/>
              </w:rPr>
              <w:t>韩国资本支出在第43空处理。</w:t>
            </w:r>
          </w:p>
        </w:tc>
      </w:tr>
      <w:tr w14:paraId="72034A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C1004A6">
            <w:pPr>
              <w:spacing w:after="40" w:line="259" w:lineRule="auto"/>
            </w:pPr>
            <w:r>
              <w:rPr>
                <w:rFonts w:ascii="Times New Roman" w:hAnsi="Times New Roman" w:eastAsia="微软雅黑"/>
                <w:b w:val="0"/>
                <w:color w:val="000000"/>
                <w:sz w:val="19"/>
              </w:rPr>
              <w:t>E</w:t>
            </w:r>
          </w:p>
        </w:tc>
        <w:tc>
          <w:tcPr>
            <w:tcW w:w="1224" w:type="dxa"/>
          </w:tcPr>
          <w:p w14:paraId="40CC1AE1">
            <w:pPr>
              <w:spacing w:after="40" w:line="259" w:lineRule="auto"/>
            </w:pPr>
            <w:r>
              <w:rPr>
                <w:rFonts w:ascii="Times New Roman" w:hAnsi="Times New Roman" w:eastAsia="微软雅黑"/>
                <w:b w:val="0"/>
                <w:color w:val="000000"/>
                <w:sz w:val="19"/>
              </w:rPr>
              <w:t>不能选</w:t>
            </w:r>
          </w:p>
        </w:tc>
        <w:tc>
          <w:tcPr>
            <w:tcW w:w="7344" w:type="dxa"/>
          </w:tcPr>
          <w:p w14:paraId="48B90538">
            <w:pPr>
              <w:spacing w:after="40" w:line="259" w:lineRule="auto"/>
            </w:pPr>
            <w:r>
              <w:rPr>
                <w:rFonts w:ascii="Times New Roman" w:hAnsi="Times New Roman" w:eastAsia="微软雅黑"/>
                <w:b w:val="0"/>
                <w:color w:val="000000"/>
                <w:sz w:val="19"/>
              </w:rPr>
              <w:t>受益范围有限是第44空的转折。</w:t>
            </w:r>
          </w:p>
        </w:tc>
      </w:tr>
      <w:tr w14:paraId="18A0DC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C23C63F">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03B0560">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2D0E7C5">
            <w:pPr>
              <w:spacing w:after="40" w:line="259" w:lineRule="auto"/>
            </w:pPr>
            <w:r>
              <w:rPr>
                <w:rFonts w:ascii="Times New Roman" w:hAnsi="Times New Roman" w:eastAsia="微软雅黑"/>
                <w:b w:val="0"/>
                <w:color w:val="000000"/>
                <w:sz w:val="19"/>
              </w:rPr>
              <w:t>韩国财政选择在第45空处理。</w:t>
            </w:r>
          </w:p>
        </w:tc>
      </w:tr>
      <w:tr w14:paraId="4667A2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C2D606B">
            <w:pPr>
              <w:spacing w:after="40" w:line="259" w:lineRule="auto"/>
            </w:pPr>
            <w:r>
              <w:rPr>
                <w:rFonts w:ascii="Times New Roman" w:hAnsi="Times New Roman" w:eastAsia="微软雅黑"/>
                <w:b w:val="0"/>
                <w:color w:val="000000"/>
                <w:sz w:val="19"/>
              </w:rPr>
              <w:t>G</w:t>
            </w:r>
          </w:p>
        </w:tc>
        <w:tc>
          <w:tcPr>
            <w:tcW w:w="1224" w:type="dxa"/>
          </w:tcPr>
          <w:p w14:paraId="4049CEC8">
            <w:pPr>
              <w:spacing w:after="40" w:line="259" w:lineRule="auto"/>
            </w:pPr>
            <w:r>
              <w:rPr>
                <w:rFonts w:ascii="Times New Roman" w:hAnsi="Times New Roman" w:eastAsia="微软雅黑"/>
                <w:b w:val="0"/>
                <w:color w:val="000000"/>
                <w:sz w:val="19"/>
              </w:rPr>
              <w:t>不能选</w:t>
            </w:r>
          </w:p>
        </w:tc>
        <w:tc>
          <w:tcPr>
            <w:tcW w:w="7344" w:type="dxa"/>
          </w:tcPr>
          <w:p w14:paraId="05E9C3D1">
            <w:pPr>
              <w:spacing w:after="40" w:line="259" w:lineRule="auto"/>
            </w:pPr>
            <w:r>
              <w:rPr>
                <w:rFonts w:ascii="Times New Roman" w:hAnsi="Times New Roman" w:eastAsia="微软雅黑"/>
                <w:b w:val="0"/>
                <w:color w:val="000000"/>
                <w:sz w:val="19"/>
              </w:rPr>
              <w:t>它夸大美国情况，且与后文比较样本无关。</w:t>
            </w:r>
          </w:p>
        </w:tc>
      </w:tr>
    </w:tbl>
    <w:p w14:paraId="0F6333EB">
      <w:pPr>
        <w:spacing w:after="160" w:line="276" w:lineRule="auto"/>
      </w:pPr>
    </w:p>
    <w:p w14:paraId="268432A7">
      <w:pPr>
        <w:keepNext/>
        <w:spacing w:before="200" w:after="120"/>
      </w:pPr>
      <w:r>
        <w:rPr>
          <w:rFonts w:ascii="Times New Roman" w:hAnsi="Times New Roman" w:eastAsia="微软雅黑"/>
          <w:b/>
          <w:color w:val="000000"/>
          <w:sz w:val="23"/>
        </w:rPr>
        <w:t>42.【答案】B</w:t>
      </w:r>
    </w:p>
    <w:p w14:paraId="29E234C7">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第五段段末；第六段转向韩国。</w:t>
      </w:r>
    </w:p>
    <w:p w14:paraId="50BC1D45">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空前说台湾电子业工资先涨，随后涨薪扩散到全体劳动者；【B】用 Balassa-Samuelson effect 解释可贸易部门高生产率如何推高全社会劳动成本，正好完成机制说明。</w:t>
      </w:r>
    </w:p>
    <w:p w14:paraId="1CD0EB6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6161C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7391FD9C">
            <w:pPr>
              <w:spacing w:after="40"/>
            </w:pPr>
            <w:r>
              <w:rPr>
                <w:rFonts w:ascii="Times New Roman" w:hAnsi="Times New Roman" w:eastAsia="微软雅黑"/>
                <w:b/>
                <w:color w:val="FFFFFF"/>
                <w:sz w:val="20"/>
              </w:rPr>
              <w:t>选项</w:t>
            </w:r>
          </w:p>
        </w:tc>
        <w:tc>
          <w:tcPr>
            <w:tcW w:w="1224" w:type="dxa"/>
            <w:shd w:val="clear" w:color="auto" w:fill="1F4E79"/>
          </w:tcPr>
          <w:p w14:paraId="00AFD81B">
            <w:pPr>
              <w:spacing w:after="40"/>
            </w:pPr>
            <w:r>
              <w:rPr>
                <w:rFonts w:ascii="Times New Roman" w:hAnsi="Times New Roman" w:eastAsia="微软雅黑"/>
                <w:b/>
                <w:color w:val="FFFFFF"/>
                <w:sz w:val="20"/>
              </w:rPr>
              <w:t>判断</w:t>
            </w:r>
          </w:p>
        </w:tc>
        <w:tc>
          <w:tcPr>
            <w:tcW w:w="7344" w:type="dxa"/>
            <w:shd w:val="clear" w:color="auto" w:fill="1F4E79"/>
          </w:tcPr>
          <w:p w14:paraId="094D80A7">
            <w:pPr>
              <w:spacing w:after="40"/>
            </w:pPr>
            <w:r>
              <w:rPr>
                <w:rFonts w:ascii="Times New Roman" w:hAnsi="Times New Roman" w:eastAsia="微软雅黑"/>
                <w:b/>
                <w:color w:val="FFFFFF"/>
                <w:sz w:val="20"/>
              </w:rPr>
              <w:t>理由</w:t>
            </w:r>
          </w:p>
        </w:tc>
      </w:tr>
      <w:tr w14:paraId="37FF89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3039419">
            <w:pPr>
              <w:spacing w:after="40" w:line="259" w:lineRule="auto"/>
            </w:pPr>
            <w:r>
              <w:rPr>
                <w:rFonts w:ascii="Times New Roman" w:hAnsi="Times New Roman" w:eastAsia="微软雅黑"/>
                <w:b w:val="0"/>
                <w:color w:val="000000"/>
                <w:sz w:val="19"/>
              </w:rPr>
              <w:t>A</w:t>
            </w:r>
          </w:p>
        </w:tc>
        <w:tc>
          <w:tcPr>
            <w:tcW w:w="1224" w:type="dxa"/>
          </w:tcPr>
          <w:p w14:paraId="345B0B89">
            <w:pPr>
              <w:spacing w:after="40" w:line="259" w:lineRule="auto"/>
            </w:pPr>
            <w:r>
              <w:rPr>
                <w:rFonts w:ascii="Times New Roman" w:hAnsi="Times New Roman" w:eastAsia="微软雅黑"/>
                <w:b w:val="0"/>
                <w:color w:val="000000"/>
                <w:sz w:val="19"/>
              </w:rPr>
              <w:t>不能选</w:t>
            </w:r>
          </w:p>
        </w:tc>
        <w:tc>
          <w:tcPr>
            <w:tcW w:w="7344" w:type="dxa"/>
          </w:tcPr>
          <w:p w14:paraId="26606EDC">
            <w:pPr>
              <w:spacing w:after="40" w:line="259" w:lineRule="auto"/>
            </w:pPr>
            <w:r>
              <w:rPr>
                <w:rFonts w:ascii="Times New Roman" w:hAnsi="Times New Roman" w:eastAsia="微软雅黑"/>
                <w:b w:val="0"/>
                <w:color w:val="000000"/>
                <w:sz w:val="19"/>
              </w:rPr>
              <w:t>消费数据已在第41空出现。</w:t>
            </w:r>
          </w:p>
        </w:tc>
      </w:tr>
      <w:tr w14:paraId="25DBC2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57F64FF">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82BE5F4">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30D1D938">
            <w:pPr>
              <w:spacing w:after="40" w:line="259" w:lineRule="auto"/>
            </w:pPr>
            <w:r>
              <w:rPr>
                <w:rFonts w:ascii="Times New Roman" w:hAnsi="Times New Roman" w:eastAsia="微软雅黑"/>
                <w:b w:val="0"/>
                <w:color w:val="000000"/>
                <w:sz w:val="19"/>
              </w:rPr>
              <w:t>承接工资扩散，并提供经济学机制。</w:t>
            </w:r>
          </w:p>
        </w:tc>
      </w:tr>
      <w:tr w14:paraId="0175FC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CBD9C41">
            <w:pPr>
              <w:spacing w:after="40" w:line="259" w:lineRule="auto"/>
            </w:pPr>
            <w:r>
              <w:rPr>
                <w:rFonts w:ascii="Times New Roman" w:hAnsi="Times New Roman" w:eastAsia="微软雅黑"/>
                <w:b w:val="0"/>
                <w:color w:val="000000"/>
                <w:sz w:val="19"/>
              </w:rPr>
              <w:t>C</w:t>
            </w:r>
          </w:p>
        </w:tc>
        <w:tc>
          <w:tcPr>
            <w:tcW w:w="1224" w:type="dxa"/>
          </w:tcPr>
          <w:p w14:paraId="474B3E4B">
            <w:pPr>
              <w:spacing w:after="40" w:line="259" w:lineRule="auto"/>
            </w:pPr>
            <w:r>
              <w:rPr>
                <w:rFonts w:ascii="Times New Roman" w:hAnsi="Times New Roman" w:eastAsia="微软雅黑"/>
                <w:b w:val="0"/>
                <w:color w:val="000000"/>
                <w:sz w:val="19"/>
              </w:rPr>
              <w:t>不能选</w:t>
            </w:r>
          </w:p>
        </w:tc>
        <w:tc>
          <w:tcPr>
            <w:tcW w:w="7344" w:type="dxa"/>
          </w:tcPr>
          <w:p w14:paraId="172446C9">
            <w:pPr>
              <w:spacing w:after="40" w:line="259" w:lineRule="auto"/>
            </w:pPr>
            <w:r>
              <w:rPr>
                <w:rFonts w:ascii="Times New Roman" w:hAnsi="Times New Roman" w:eastAsia="微软雅黑"/>
                <w:b w:val="0"/>
                <w:color w:val="000000"/>
                <w:sz w:val="19"/>
              </w:rPr>
              <w:t>它写韩国未来可能路径，不是台湾现况。</w:t>
            </w:r>
          </w:p>
        </w:tc>
      </w:tr>
      <w:tr w14:paraId="47FF45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033AAC9">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1BE9E4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7B4962C">
            <w:pPr>
              <w:spacing w:after="40" w:line="259" w:lineRule="auto"/>
            </w:pPr>
            <w:r>
              <w:rPr>
                <w:rFonts w:ascii="Times New Roman" w:hAnsi="Times New Roman" w:eastAsia="微软雅黑"/>
                <w:b w:val="0"/>
                <w:color w:val="000000"/>
                <w:sz w:val="19"/>
              </w:rPr>
              <w:t>资本支出数据属于韩国段。</w:t>
            </w:r>
          </w:p>
        </w:tc>
      </w:tr>
      <w:tr w14:paraId="6817FC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26832D8">
            <w:pPr>
              <w:spacing w:after="40" w:line="259" w:lineRule="auto"/>
            </w:pPr>
            <w:r>
              <w:rPr>
                <w:rFonts w:ascii="Times New Roman" w:hAnsi="Times New Roman" w:eastAsia="微软雅黑"/>
                <w:b w:val="0"/>
                <w:color w:val="000000"/>
                <w:sz w:val="19"/>
              </w:rPr>
              <w:t>E</w:t>
            </w:r>
          </w:p>
        </w:tc>
        <w:tc>
          <w:tcPr>
            <w:tcW w:w="1224" w:type="dxa"/>
          </w:tcPr>
          <w:p w14:paraId="70C3126F">
            <w:pPr>
              <w:spacing w:after="40" w:line="259" w:lineRule="auto"/>
            </w:pPr>
            <w:r>
              <w:rPr>
                <w:rFonts w:ascii="Times New Roman" w:hAnsi="Times New Roman" w:eastAsia="微软雅黑"/>
                <w:b w:val="0"/>
                <w:color w:val="000000"/>
                <w:sz w:val="19"/>
              </w:rPr>
              <w:t>不能选</w:t>
            </w:r>
          </w:p>
        </w:tc>
        <w:tc>
          <w:tcPr>
            <w:tcW w:w="7344" w:type="dxa"/>
          </w:tcPr>
          <w:p w14:paraId="62769578">
            <w:pPr>
              <w:spacing w:after="40" w:line="259" w:lineRule="auto"/>
            </w:pPr>
            <w:r>
              <w:rPr>
                <w:rFonts w:ascii="Times New Roman" w:hAnsi="Times New Roman" w:eastAsia="微软雅黑"/>
                <w:b w:val="0"/>
                <w:color w:val="000000"/>
                <w:sz w:val="19"/>
              </w:rPr>
              <w:t>它说明韩国收益有限，方向不合。</w:t>
            </w:r>
          </w:p>
        </w:tc>
      </w:tr>
      <w:tr w14:paraId="7F968F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64C1BB0">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A661AB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ABD253A">
            <w:pPr>
              <w:spacing w:after="40" w:line="259" w:lineRule="auto"/>
            </w:pPr>
            <w:r>
              <w:rPr>
                <w:rFonts w:ascii="Times New Roman" w:hAnsi="Times New Roman" w:eastAsia="微软雅黑"/>
                <w:b w:val="0"/>
                <w:color w:val="000000"/>
                <w:sz w:val="19"/>
              </w:rPr>
              <w:t>财政储蓄属于第45空。</w:t>
            </w:r>
          </w:p>
        </w:tc>
      </w:tr>
      <w:tr w14:paraId="6B655F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EB3E8F4">
            <w:pPr>
              <w:spacing w:after="40" w:line="259" w:lineRule="auto"/>
            </w:pPr>
            <w:r>
              <w:rPr>
                <w:rFonts w:ascii="Times New Roman" w:hAnsi="Times New Roman" w:eastAsia="微软雅黑"/>
                <w:b w:val="0"/>
                <w:color w:val="000000"/>
                <w:sz w:val="19"/>
              </w:rPr>
              <w:t>G</w:t>
            </w:r>
          </w:p>
        </w:tc>
        <w:tc>
          <w:tcPr>
            <w:tcW w:w="1224" w:type="dxa"/>
          </w:tcPr>
          <w:p w14:paraId="6C76CEE8">
            <w:pPr>
              <w:spacing w:after="40" w:line="259" w:lineRule="auto"/>
            </w:pPr>
            <w:r>
              <w:rPr>
                <w:rFonts w:ascii="Times New Roman" w:hAnsi="Times New Roman" w:eastAsia="微软雅黑"/>
                <w:b w:val="0"/>
                <w:color w:val="000000"/>
                <w:sz w:val="19"/>
              </w:rPr>
              <w:t>不能选</w:t>
            </w:r>
          </w:p>
        </w:tc>
        <w:tc>
          <w:tcPr>
            <w:tcW w:w="7344" w:type="dxa"/>
          </w:tcPr>
          <w:p w14:paraId="02E1E666">
            <w:pPr>
              <w:spacing w:after="40" w:line="259" w:lineRule="auto"/>
            </w:pPr>
            <w:r>
              <w:rPr>
                <w:rFonts w:ascii="Times New Roman" w:hAnsi="Times New Roman" w:eastAsia="微软雅黑"/>
                <w:b w:val="0"/>
                <w:color w:val="000000"/>
                <w:sz w:val="19"/>
              </w:rPr>
              <w:t>全行业同步受益与原文限定相反。</w:t>
            </w:r>
          </w:p>
        </w:tc>
      </w:tr>
    </w:tbl>
    <w:p w14:paraId="2CA3060D">
      <w:pPr>
        <w:spacing w:after="160" w:line="276" w:lineRule="auto"/>
      </w:pPr>
    </w:p>
    <w:p w14:paraId="3BEE45DF">
      <w:pPr>
        <w:keepNext/>
        <w:spacing w:before="200" w:after="120"/>
      </w:pPr>
      <w:r>
        <w:rPr>
          <w:rFonts w:ascii="Times New Roman" w:hAnsi="Times New Roman" w:eastAsia="微软雅黑"/>
          <w:b/>
          <w:color w:val="000000"/>
          <w:sz w:val="23"/>
        </w:rPr>
        <w:t>43.【答案】D</w:t>
      </w:r>
    </w:p>
    <w:p w14:paraId="5185FC1C">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第七段段末；第八段写投资计划尚未落地。</w:t>
      </w:r>
    </w:p>
    <w:p w14:paraId="79448F0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空前说韩国需求突然上升，所以情况 less clear-cut；【D】具体比较 Samsung 与 SK Hynix 的资本支出，解释“突然”并没有立即形成台湾式普遍投资热。第八段继续说 $500bn plan has yet to be reflected in outlays。</w:t>
      </w:r>
    </w:p>
    <w:p w14:paraId="00E2C5AB">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B9BD44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tblHeader/>
          <w:jc w:val="center"/>
        </w:trPr>
        <w:tc>
          <w:tcPr>
            <w:tcW w:w="936" w:type="dxa"/>
            <w:shd w:val="clear" w:color="auto" w:fill="1F4E79"/>
          </w:tcPr>
          <w:p w14:paraId="718A59F2">
            <w:pPr>
              <w:spacing w:after="40"/>
            </w:pPr>
            <w:r>
              <w:rPr>
                <w:rFonts w:ascii="Times New Roman" w:hAnsi="Times New Roman" w:eastAsia="微软雅黑"/>
                <w:b/>
                <w:color w:val="FFFFFF"/>
                <w:sz w:val="20"/>
              </w:rPr>
              <w:t>选项</w:t>
            </w:r>
          </w:p>
        </w:tc>
        <w:tc>
          <w:tcPr>
            <w:tcW w:w="1224" w:type="dxa"/>
            <w:shd w:val="clear" w:color="auto" w:fill="1F4E79"/>
          </w:tcPr>
          <w:p w14:paraId="55CF111F">
            <w:pPr>
              <w:spacing w:after="40"/>
            </w:pPr>
            <w:r>
              <w:rPr>
                <w:rFonts w:ascii="Times New Roman" w:hAnsi="Times New Roman" w:eastAsia="微软雅黑"/>
                <w:b/>
                <w:color w:val="FFFFFF"/>
                <w:sz w:val="20"/>
              </w:rPr>
              <w:t>判断</w:t>
            </w:r>
          </w:p>
        </w:tc>
        <w:tc>
          <w:tcPr>
            <w:tcW w:w="7344" w:type="dxa"/>
            <w:shd w:val="clear" w:color="auto" w:fill="1F4E79"/>
          </w:tcPr>
          <w:p w14:paraId="2E2CA339">
            <w:pPr>
              <w:spacing w:after="40"/>
            </w:pPr>
            <w:r>
              <w:rPr>
                <w:rFonts w:ascii="Times New Roman" w:hAnsi="Times New Roman" w:eastAsia="微软雅黑"/>
                <w:b/>
                <w:color w:val="FFFFFF"/>
                <w:sz w:val="20"/>
              </w:rPr>
              <w:t>理由</w:t>
            </w:r>
          </w:p>
        </w:tc>
      </w:tr>
      <w:tr w14:paraId="620F6A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A5ECB97">
            <w:pPr>
              <w:spacing w:after="40" w:line="259" w:lineRule="auto"/>
            </w:pPr>
            <w:r>
              <w:rPr>
                <w:rFonts w:ascii="Times New Roman" w:hAnsi="Times New Roman" w:eastAsia="微软雅黑"/>
                <w:b w:val="0"/>
                <w:color w:val="000000"/>
                <w:sz w:val="19"/>
              </w:rPr>
              <w:t>A</w:t>
            </w:r>
          </w:p>
        </w:tc>
        <w:tc>
          <w:tcPr>
            <w:tcW w:w="1224" w:type="dxa"/>
          </w:tcPr>
          <w:p w14:paraId="1C16AD6C">
            <w:pPr>
              <w:spacing w:after="40" w:line="259" w:lineRule="auto"/>
            </w:pPr>
            <w:r>
              <w:rPr>
                <w:rFonts w:ascii="Times New Roman" w:hAnsi="Times New Roman" w:eastAsia="微软雅黑"/>
                <w:b w:val="0"/>
                <w:color w:val="000000"/>
                <w:sz w:val="19"/>
              </w:rPr>
              <w:t>不能选</w:t>
            </w:r>
          </w:p>
        </w:tc>
        <w:tc>
          <w:tcPr>
            <w:tcW w:w="7344" w:type="dxa"/>
          </w:tcPr>
          <w:p w14:paraId="5D151C47">
            <w:pPr>
              <w:spacing w:after="40" w:line="259" w:lineRule="auto"/>
            </w:pPr>
            <w:r>
              <w:rPr>
                <w:rFonts w:ascii="Times New Roman" w:hAnsi="Times New Roman" w:eastAsia="微软雅黑"/>
                <w:b w:val="0"/>
                <w:color w:val="000000"/>
                <w:sz w:val="19"/>
              </w:rPr>
              <w:t>消费回暖不属于韩国芯片投资语境。</w:t>
            </w:r>
          </w:p>
        </w:tc>
      </w:tr>
      <w:tr w14:paraId="6D8FADE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66C0B8D">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A85FBE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258014B">
            <w:pPr>
              <w:spacing w:after="40" w:line="259" w:lineRule="auto"/>
            </w:pPr>
            <w:r>
              <w:rPr>
                <w:rFonts w:ascii="Times New Roman" w:hAnsi="Times New Roman" w:eastAsia="微软雅黑"/>
                <w:b w:val="0"/>
                <w:color w:val="000000"/>
                <w:sz w:val="19"/>
              </w:rPr>
              <w:t>台湾工资机制已完成。</w:t>
            </w:r>
          </w:p>
        </w:tc>
      </w:tr>
      <w:tr w14:paraId="5B2134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2762BBD">
            <w:pPr>
              <w:spacing w:after="40" w:line="259" w:lineRule="auto"/>
            </w:pPr>
            <w:r>
              <w:rPr>
                <w:rFonts w:ascii="Times New Roman" w:hAnsi="Times New Roman" w:eastAsia="微软雅黑"/>
                <w:b w:val="0"/>
                <w:color w:val="000000"/>
                <w:sz w:val="19"/>
              </w:rPr>
              <w:t>C</w:t>
            </w:r>
          </w:p>
        </w:tc>
        <w:tc>
          <w:tcPr>
            <w:tcW w:w="1224" w:type="dxa"/>
          </w:tcPr>
          <w:p w14:paraId="5A440029">
            <w:pPr>
              <w:spacing w:after="40" w:line="259" w:lineRule="auto"/>
            </w:pPr>
            <w:r>
              <w:rPr>
                <w:rFonts w:ascii="Times New Roman" w:hAnsi="Times New Roman" w:eastAsia="微软雅黑"/>
                <w:b w:val="0"/>
                <w:color w:val="000000"/>
                <w:sz w:val="19"/>
              </w:rPr>
              <w:t>不能选</w:t>
            </w:r>
          </w:p>
        </w:tc>
        <w:tc>
          <w:tcPr>
            <w:tcW w:w="7344" w:type="dxa"/>
          </w:tcPr>
          <w:p w14:paraId="4B45677E">
            <w:pPr>
              <w:spacing w:after="40" w:line="259" w:lineRule="auto"/>
            </w:pPr>
            <w:r>
              <w:rPr>
                <w:rFonts w:ascii="Times New Roman" w:hAnsi="Times New Roman" w:eastAsia="微软雅黑"/>
                <w:b w:val="0"/>
                <w:color w:val="000000"/>
                <w:sz w:val="19"/>
              </w:rPr>
              <w:t>未来工资普涨应放在文末推论。</w:t>
            </w:r>
          </w:p>
        </w:tc>
      </w:tr>
      <w:tr w14:paraId="78341F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32642FA">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F5356C0">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764F781C">
            <w:pPr>
              <w:spacing w:after="40" w:line="259" w:lineRule="auto"/>
            </w:pPr>
            <w:r>
              <w:rPr>
                <w:rFonts w:ascii="Times New Roman" w:hAnsi="Times New Roman" w:eastAsia="微软雅黑"/>
                <w:b w:val="0"/>
                <w:color w:val="000000"/>
                <w:sz w:val="19"/>
              </w:rPr>
              <w:t>承接需求突增，呈现两家公司投资差异。</w:t>
            </w:r>
          </w:p>
        </w:tc>
      </w:tr>
      <w:tr w14:paraId="3D5A26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2D380B8">
            <w:pPr>
              <w:spacing w:after="40" w:line="259" w:lineRule="auto"/>
            </w:pPr>
            <w:r>
              <w:rPr>
                <w:rFonts w:ascii="Times New Roman" w:hAnsi="Times New Roman" w:eastAsia="微软雅黑"/>
                <w:b w:val="0"/>
                <w:color w:val="000000"/>
                <w:sz w:val="19"/>
              </w:rPr>
              <w:t>E</w:t>
            </w:r>
          </w:p>
        </w:tc>
        <w:tc>
          <w:tcPr>
            <w:tcW w:w="1224" w:type="dxa"/>
          </w:tcPr>
          <w:p w14:paraId="43D002C7">
            <w:pPr>
              <w:spacing w:after="40" w:line="259" w:lineRule="auto"/>
            </w:pPr>
            <w:r>
              <w:rPr>
                <w:rFonts w:ascii="Times New Roman" w:hAnsi="Times New Roman" w:eastAsia="微软雅黑"/>
                <w:b w:val="0"/>
                <w:color w:val="000000"/>
                <w:sz w:val="19"/>
              </w:rPr>
              <w:t>不能选</w:t>
            </w:r>
          </w:p>
        </w:tc>
        <w:tc>
          <w:tcPr>
            <w:tcW w:w="7344" w:type="dxa"/>
          </w:tcPr>
          <w:p w14:paraId="7A5128A0">
            <w:pPr>
              <w:spacing w:after="40" w:line="259" w:lineRule="auto"/>
            </w:pPr>
            <w:r>
              <w:rPr>
                <w:rFonts w:ascii="Times New Roman" w:hAnsi="Times New Roman" w:eastAsia="微软雅黑"/>
                <w:b w:val="0"/>
                <w:color w:val="000000"/>
                <w:sz w:val="19"/>
              </w:rPr>
              <w:t>直接受益范围应在价格段后出现。</w:t>
            </w:r>
          </w:p>
        </w:tc>
      </w:tr>
      <w:tr w14:paraId="168E4CD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E836C6F">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6927A7E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6511AE3">
            <w:pPr>
              <w:spacing w:after="40" w:line="259" w:lineRule="auto"/>
            </w:pPr>
            <w:r>
              <w:rPr>
                <w:rFonts w:ascii="Times New Roman" w:hAnsi="Times New Roman" w:eastAsia="微软雅黑"/>
                <w:b w:val="0"/>
                <w:color w:val="000000"/>
                <w:sz w:val="19"/>
              </w:rPr>
              <w:t>政府财政选择在第45空。</w:t>
            </w:r>
          </w:p>
        </w:tc>
      </w:tr>
      <w:tr w14:paraId="24A11B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7E8E058">
            <w:pPr>
              <w:spacing w:after="40" w:line="259" w:lineRule="auto"/>
            </w:pPr>
            <w:r>
              <w:rPr>
                <w:rFonts w:ascii="Times New Roman" w:hAnsi="Times New Roman" w:eastAsia="微软雅黑"/>
                <w:b w:val="0"/>
                <w:color w:val="000000"/>
                <w:sz w:val="19"/>
              </w:rPr>
              <w:t>G</w:t>
            </w:r>
          </w:p>
        </w:tc>
        <w:tc>
          <w:tcPr>
            <w:tcW w:w="1224" w:type="dxa"/>
          </w:tcPr>
          <w:p w14:paraId="2B99CEB1">
            <w:pPr>
              <w:spacing w:after="40" w:line="259" w:lineRule="auto"/>
            </w:pPr>
            <w:r>
              <w:rPr>
                <w:rFonts w:ascii="Times New Roman" w:hAnsi="Times New Roman" w:eastAsia="微软雅黑"/>
                <w:b w:val="0"/>
                <w:color w:val="000000"/>
                <w:sz w:val="19"/>
              </w:rPr>
              <w:t>不能选</w:t>
            </w:r>
          </w:p>
        </w:tc>
        <w:tc>
          <w:tcPr>
            <w:tcW w:w="7344" w:type="dxa"/>
          </w:tcPr>
          <w:p w14:paraId="01150F9D">
            <w:pPr>
              <w:spacing w:after="40" w:line="259" w:lineRule="auto"/>
            </w:pPr>
            <w:r>
              <w:rPr>
                <w:rFonts w:ascii="Times New Roman" w:hAnsi="Times New Roman" w:eastAsia="微软雅黑"/>
                <w:b w:val="0"/>
                <w:color w:val="000000"/>
                <w:sz w:val="19"/>
              </w:rPr>
              <w:t>美国各行业同步增长没有证据。</w:t>
            </w:r>
          </w:p>
        </w:tc>
      </w:tr>
    </w:tbl>
    <w:p w14:paraId="66A14560">
      <w:pPr>
        <w:spacing w:after="160" w:line="276" w:lineRule="auto"/>
      </w:pPr>
    </w:p>
    <w:p w14:paraId="7DDB21A8">
      <w:pPr>
        <w:keepNext/>
        <w:spacing w:before="200" w:after="120"/>
      </w:pPr>
      <w:r>
        <w:rPr>
          <w:rFonts w:ascii="Times New Roman" w:hAnsi="Times New Roman" w:eastAsia="微软雅黑"/>
          <w:b/>
          <w:color w:val="000000"/>
          <w:sz w:val="23"/>
        </w:rPr>
        <w:t>44.【答案】E</w:t>
      </w:r>
    </w:p>
    <w:p w14:paraId="1DF7218D">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第九段段末；第十段写工资与财富效应不足。</w:t>
      </w:r>
    </w:p>
    <w:p w14:paraId="10E2820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空前说韩国出口增长主要靠 much higher prices；【E】中的 therefore 承接该原因，并把 immediate benefits 限定在不足1%的芯片工人、股东和供应商。第十段随即说明全经济工资增长与财富效应都偏弱。</w:t>
      </w:r>
    </w:p>
    <w:p w14:paraId="317C90A3">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914FD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1BAAC22B">
            <w:pPr>
              <w:spacing w:after="40"/>
            </w:pPr>
            <w:r>
              <w:rPr>
                <w:rFonts w:ascii="Times New Roman" w:hAnsi="Times New Roman" w:eastAsia="微软雅黑"/>
                <w:b/>
                <w:color w:val="FFFFFF"/>
                <w:sz w:val="20"/>
              </w:rPr>
              <w:t>选项</w:t>
            </w:r>
          </w:p>
        </w:tc>
        <w:tc>
          <w:tcPr>
            <w:tcW w:w="1224" w:type="dxa"/>
            <w:shd w:val="clear" w:color="auto" w:fill="1F4E79"/>
          </w:tcPr>
          <w:p w14:paraId="000BB9A9">
            <w:pPr>
              <w:spacing w:after="40"/>
            </w:pPr>
            <w:r>
              <w:rPr>
                <w:rFonts w:ascii="Times New Roman" w:hAnsi="Times New Roman" w:eastAsia="微软雅黑"/>
                <w:b/>
                <w:color w:val="FFFFFF"/>
                <w:sz w:val="20"/>
              </w:rPr>
              <w:t>判断</w:t>
            </w:r>
          </w:p>
        </w:tc>
        <w:tc>
          <w:tcPr>
            <w:tcW w:w="7344" w:type="dxa"/>
            <w:shd w:val="clear" w:color="auto" w:fill="1F4E79"/>
          </w:tcPr>
          <w:p w14:paraId="594DB617">
            <w:pPr>
              <w:spacing w:after="40"/>
            </w:pPr>
            <w:r>
              <w:rPr>
                <w:rFonts w:ascii="Times New Roman" w:hAnsi="Times New Roman" w:eastAsia="微软雅黑"/>
                <w:b/>
                <w:color w:val="FFFFFF"/>
                <w:sz w:val="20"/>
              </w:rPr>
              <w:t>理由</w:t>
            </w:r>
          </w:p>
        </w:tc>
      </w:tr>
      <w:tr w14:paraId="35FC02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F767E79">
            <w:pPr>
              <w:spacing w:after="40" w:line="259" w:lineRule="auto"/>
            </w:pPr>
            <w:r>
              <w:rPr>
                <w:rFonts w:ascii="Times New Roman" w:hAnsi="Times New Roman" w:eastAsia="微软雅黑"/>
                <w:b w:val="0"/>
                <w:color w:val="000000"/>
                <w:sz w:val="19"/>
              </w:rPr>
              <w:t>A</w:t>
            </w:r>
          </w:p>
        </w:tc>
        <w:tc>
          <w:tcPr>
            <w:tcW w:w="1224" w:type="dxa"/>
          </w:tcPr>
          <w:p w14:paraId="486D2439">
            <w:pPr>
              <w:spacing w:after="40" w:line="259" w:lineRule="auto"/>
            </w:pPr>
            <w:r>
              <w:rPr>
                <w:rFonts w:ascii="Times New Roman" w:hAnsi="Times New Roman" w:eastAsia="微软雅黑"/>
                <w:b w:val="0"/>
                <w:color w:val="000000"/>
                <w:sz w:val="19"/>
              </w:rPr>
              <w:t>不能选</w:t>
            </w:r>
          </w:p>
        </w:tc>
        <w:tc>
          <w:tcPr>
            <w:tcW w:w="7344" w:type="dxa"/>
          </w:tcPr>
          <w:p w14:paraId="7C5B5BB4">
            <w:pPr>
              <w:spacing w:after="40" w:line="259" w:lineRule="auto"/>
            </w:pPr>
            <w:r>
              <w:rPr>
                <w:rFonts w:ascii="Times New Roman" w:hAnsi="Times New Roman" w:eastAsia="微软雅黑"/>
                <w:b w:val="0"/>
                <w:color w:val="000000"/>
                <w:sz w:val="19"/>
              </w:rPr>
              <w:t>总体消费已在第41空处理。</w:t>
            </w:r>
          </w:p>
        </w:tc>
      </w:tr>
      <w:tr w14:paraId="660A91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6AE6124">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965CD3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88B1C33">
            <w:pPr>
              <w:spacing w:after="40" w:line="259" w:lineRule="auto"/>
            </w:pPr>
            <w:r>
              <w:rPr>
                <w:rFonts w:ascii="Times New Roman" w:hAnsi="Times New Roman" w:eastAsia="微软雅黑"/>
                <w:b w:val="0"/>
                <w:color w:val="000000"/>
                <w:sz w:val="19"/>
              </w:rPr>
              <w:t>该机制属于台湾工资段。</w:t>
            </w:r>
          </w:p>
        </w:tc>
      </w:tr>
      <w:tr w14:paraId="4AC96F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0F61E0F">
            <w:pPr>
              <w:spacing w:after="40" w:line="259" w:lineRule="auto"/>
            </w:pPr>
            <w:r>
              <w:rPr>
                <w:rFonts w:ascii="Times New Roman" w:hAnsi="Times New Roman" w:eastAsia="微软雅黑"/>
                <w:b w:val="0"/>
                <w:color w:val="000000"/>
                <w:sz w:val="19"/>
              </w:rPr>
              <w:t>C</w:t>
            </w:r>
          </w:p>
        </w:tc>
        <w:tc>
          <w:tcPr>
            <w:tcW w:w="1224" w:type="dxa"/>
          </w:tcPr>
          <w:p w14:paraId="6D238D6F">
            <w:pPr>
              <w:spacing w:after="40" w:line="259" w:lineRule="auto"/>
            </w:pPr>
            <w:r>
              <w:rPr>
                <w:rFonts w:ascii="Times New Roman" w:hAnsi="Times New Roman" w:eastAsia="微软雅黑"/>
                <w:b w:val="0"/>
                <w:color w:val="000000"/>
                <w:sz w:val="19"/>
              </w:rPr>
              <w:t>不能选</w:t>
            </w:r>
          </w:p>
        </w:tc>
        <w:tc>
          <w:tcPr>
            <w:tcW w:w="7344" w:type="dxa"/>
          </w:tcPr>
          <w:p w14:paraId="38788030">
            <w:pPr>
              <w:spacing w:after="40" w:line="259" w:lineRule="auto"/>
            </w:pPr>
            <w:r>
              <w:rPr>
                <w:rFonts w:ascii="Times New Roman" w:hAnsi="Times New Roman" w:eastAsia="微软雅黑"/>
                <w:b w:val="0"/>
                <w:color w:val="000000"/>
                <w:sz w:val="19"/>
              </w:rPr>
              <w:t>这是对未来的展望，不能解释当前 limited benefits。</w:t>
            </w:r>
          </w:p>
        </w:tc>
      </w:tr>
      <w:tr w14:paraId="6161E7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9282BF1">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61EE0E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11B0D98">
            <w:pPr>
              <w:spacing w:after="40" w:line="259" w:lineRule="auto"/>
            </w:pPr>
            <w:r>
              <w:rPr>
                <w:rFonts w:ascii="Times New Roman" w:hAnsi="Times New Roman" w:eastAsia="微软雅黑"/>
                <w:b w:val="0"/>
                <w:color w:val="000000"/>
                <w:sz w:val="19"/>
              </w:rPr>
              <w:t>资本支出已在第43空交代。</w:t>
            </w:r>
          </w:p>
        </w:tc>
      </w:tr>
      <w:tr w14:paraId="111F431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14F19CA">
            <w:pPr>
              <w:spacing w:after="40" w:line="259" w:lineRule="auto"/>
            </w:pPr>
            <w:r>
              <w:rPr>
                <w:rFonts w:ascii="Times New Roman" w:hAnsi="Times New Roman" w:eastAsia="微软雅黑"/>
                <w:b w:val="0"/>
                <w:color w:val="000000"/>
                <w:sz w:val="19"/>
              </w:rPr>
              <w:t>E</w:t>
            </w:r>
          </w:p>
        </w:tc>
        <w:tc>
          <w:tcPr>
            <w:tcW w:w="1224" w:type="dxa"/>
          </w:tcPr>
          <w:p w14:paraId="451932C7">
            <w:pPr>
              <w:spacing w:after="40" w:line="259" w:lineRule="auto"/>
            </w:pPr>
            <w:r>
              <w:rPr>
                <w:rFonts w:ascii="Times New Roman" w:hAnsi="Times New Roman" w:eastAsia="微软雅黑"/>
                <w:b w:val="0"/>
                <w:color w:val="000000"/>
                <w:sz w:val="19"/>
              </w:rPr>
              <w:t>正确</w:t>
            </w:r>
          </w:p>
        </w:tc>
        <w:tc>
          <w:tcPr>
            <w:tcW w:w="7344" w:type="dxa"/>
          </w:tcPr>
          <w:p w14:paraId="1E5A57CA">
            <w:pPr>
              <w:spacing w:after="40" w:line="259" w:lineRule="auto"/>
            </w:pPr>
            <w:r>
              <w:rPr>
                <w:rFonts w:ascii="Times New Roman" w:hAnsi="Times New Roman" w:eastAsia="微软雅黑"/>
                <w:b w:val="0"/>
                <w:color w:val="000000"/>
                <w:sz w:val="19"/>
              </w:rPr>
              <w:t>由价格型出口推出收益范围有限的结论。</w:t>
            </w:r>
          </w:p>
        </w:tc>
      </w:tr>
      <w:tr w14:paraId="705B26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B71AC47">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4312FE7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F83875A">
            <w:pPr>
              <w:spacing w:after="40" w:line="259" w:lineRule="auto"/>
            </w:pPr>
            <w:r>
              <w:rPr>
                <w:rFonts w:ascii="Times New Roman" w:hAnsi="Times New Roman" w:eastAsia="微软雅黑"/>
                <w:b w:val="0"/>
                <w:color w:val="000000"/>
                <w:sz w:val="19"/>
              </w:rPr>
              <w:t>财政分配属于第45空。</w:t>
            </w:r>
          </w:p>
        </w:tc>
      </w:tr>
      <w:tr w14:paraId="44D181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2046C76">
            <w:pPr>
              <w:spacing w:after="40" w:line="259" w:lineRule="auto"/>
            </w:pPr>
            <w:r>
              <w:rPr>
                <w:rFonts w:ascii="Times New Roman" w:hAnsi="Times New Roman" w:eastAsia="微软雅黑"/>
                <w:b w:val="0"/>
                <w:color w:val="000000"/>
                <w:sz w:val="19"/>
              </w:rPr>
              <w:t>G</w:t>
            </w:r>
          </w:p>
        </w:tc>
        <w:tc>
          <w:tcPr>
            <w:tcW w:w="1224" w:type="dxa"/>
          </w:tcPr>
          <w:p w14:paraId="577A1D8D">
            <w:pPr>
              <w:spacing w:after="40" w:line="259" w:lineRule="auto"/>
            </w:pPr>
            <w:r>
              <w:rPr>
                <w:rFonts w:ascii="Times New Roman" w:hAnsi="Times New Roman" w:eastAsia="微软雅黑"/>
                <w:b w:val="0"/>
                <w:color w:val="000000"/>
                <w:sz w:val="19"/>
              </w:rPr>
              <w:t>不能选</w:t>
            </w:r>
          </w:p>
        </w:tc>
        <w:tc>
          <w:tcPr>
            <w:tcW w:w="7344" w:type="dxa"/>
          </w:tcPr>
          <w:p w14:paraId="4314DC09">
            <w:pPr>
              <w:spacing w:after="40" w:line="259" w:lineRule="auto"/>
            </w:pPr>
            <w:r>
              <w:rPr>
                <w:rFonts w:ascii="Times New Roman" w:hAnsi="Times New Roman" w:eastAsia="微软雅黑"/>
                <w:b w:val="0"/>
                <w:color w:val="000000"/>
                <w:sz w:val="19"/>
              </w:rPr>
              <w:t>与“less than 1%”的限定相反。</w:t>
            </w:r>
          </w:p>
        </w:tc>
      </w:tr>
    </w:tbl>
    <w:p w14:paraId="01756E3A">
      <w:pPr>
        <w:spacing w:after="160" w:line="276" w:lineRule="auto"/>
      </w:pPr>
    </w:p>
    <w:p w14:paraId="3D84A1F0">
      <w:pPr>
        <w:keepNext/>
        <w:spacing w:before="200" w:after="120"/>
      </w:pPr>
      <w:r>
        <w:rPr>
          <w:rFonts w:ascii="Times New Roman" w:hAnsi="Times New Roman" w:eastAsia="微软雅黑"/>
          <w:b/>
          <w:color w:val="000000"/>
          <w:sz w:val="23"/>
        </w:rPr>
        <w:t>45.【答案】F</w:t>
      </w:r>
    </w:p>
    <w:p w14:paraId="7C8347EF">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第十一段段末；原文后文展望未来。</w:t>
      </w:r>
    </w:p>
    <w:p w14:paraId="4DA41FA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空前说韩国政府相对 stingier，不打算给全民发钱；【F】具体说明约70% windfall 将被储蓄，用于减赤和长期投资。后文的投资、教育与基础设施政策也据此展开。</w:t>
      </w:r>
    </w:p>
    <w:p w14:paraId="551323E4">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308D1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67E83352">
            <w:pPr>
              <w:spacing w:after="40"/>
            </w:pPr>
            <w:r>
              <w:rPr>
                <w:rFonts w:ascii="Times New Roman" w:hAnsi="Times New Roman" w:eastAsia="微软雅黑"/>
                <w:b/>
                <w:color w:val="FFFFFF"/>
                <w:sz w:val="20"/>
              </w:rPr>
              <w:t>选项</w:t>
            </w:r>
          </w:p>
        </w:tc>
        <w:tc>
          <w:tcPr>
            <w:tcW w:w="1224" w:type="dxa"/>
            <w:shd w:val="clear" w:color="auto" w:fill="1F4E79"/>
          </w:tcPr>
          <w:p w14:paraId="566465A2">
            <w:pPr>
              <w:spacing w:after="40"/>
            </w:pPr>
            <w:r>
              <w:rPr>
                <w:rFonts w:ascii="Times New Roman" w:hAnsi="Times New Roman" w:eastAsia="微软雅黑"/>
                <w:b/>
                <w:color w:val="FFFFFF"/>
                <w:sz w:val="20"/>
              </w:rPr>
              <w:t>判断</w:t>
            </w:r>
          </w:p>
        </w:tc>
        <w:tc>
          <w:tcPr>
            <w:tcW w:w="7344" w:type="dxa"/>
            <w:shd w:val="clear" w:color="auto" w:fill="1F4E79"/>
          </w:tcPr>
          <w:p w14:paraId="648667AE">
            <w:pPr>
              <w:spacing w:after="40"/>
            </w:pPr>
            <w:r>
              <w:rPr>
                <w:rFonts w:ascii="Times New Roman" w:hAnsi="Times New Roman" w:eastAsia="微软雅黑"/>
                <w:b/>
                <w:color w:val="FFFFFF"/>
                <w:sz w:val="20"/>
              </w:rPr>
              <w:t>理由</w:t>
            </w:r>
          </w:p>
        </w:tc>
      </w:tr>
      <w:tr w14:paraId="6FA644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8349743">
            <w:pPr>
              <w:spacing w:after="40" w:line="259" w:lineRule="auto"/>
            </w:pPr>
            <w:r>
              <w:rPr>
                <w:rFonts w:ascii="Times New Roman" w:hAnsi="Times New Roman" w:eastAsia="微软雅黑"/>
                <w:b w:val="0"/>
                <w:color w:val="000000"/>
                <w:sz w:val="19"/>
              </w:rPr>
              <w:t>A</w:t>
            </w:r>
          </w:p>
        </w:tc>
        <w:tc>
          <w:tcPr>
            <w:tcW w:w="1224" w:type="dxa"/>
          </w:tcPr>
          <w:p w14:paraId="13E6C4DF">
            <w:pPr>
              <w:spacing w:after="40" w:line="259" w:lineRule="auto"/>
            </w:pPr>
            <w:r>
              <w:rPr>
                <w:rFonts w:ascii="Times New Roman" w:hAnsi="Times New Roman" w:eastAsia="微软雅黑"/>
                <w:b w:val="0"/>
                <w:color w:val="000000"/>
                <w:sz w:val="19"/>
              </w:rPr>
              <w:t>不能选</w:t>
            </w:r>
          </w:p>
        </w:tc>
        <w:tc>
          <w:tcPr>
            <w:tcW w:w="7344" w:type="dxa"/>
          </w:tcPr>
          <w:p w14:paraId="77973D96">
            <w:pPr>
              <w:spacing w:after="40" w:line="259" w:lineRule="auto"/>
            </w:pPr>
            <w:r>
              <w:rPr>
                <w:rFonts w:ascii="Times New Roman" w:hAnsi="Times New Roman" w:eastAsia="微软雅黑"/>
                <w:b w:val="0"/>
                <w:color w:val="000000"/>
                <w:sz w:val="19"/>
              </w:rPr>
              <w:t>台湾消费数据不能解释韩国政府选择。</w:t>
            </w:r>
          </w:p>
        </w:tc>
      </w:tr>
      <w:tr w14:paraId="541512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530C4EB">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9640D5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4C03B5F">
            <w:pPr>
              <w:spacing w:after="40" w:line="259" w:lineRule="auto"/>
            </w:pPr>
            <w:r>
              <w:rPr>
                <w:rFonts w:ascii="Times New Roman" w:hAnsi="Times New Roman" w:eastAsia="微软雅黑"/>
                <w:b w:val="0"/>
                <w:color w:val="000000"/>
                <w:sz w:val="19"/>
              </w:rPr>
              <w:t>工资机制已在第42空完成。</w:t>
            </w:r>
          </w:p>
        </w:tc>
      </w:tr>
      <w:tr w14:paraId="7D5ADD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0A78703">
            <w:pPr>
              <w:spacing w:after="40" w:line="259" w:lineRule="auto"/>
            </w:pPr>
            <w:r>
              <w:rPr>
                <w:rFonts w:ascii="Times New Roman" w:hAnsi="Times New Roman" w:eastAsia="微软雅黑"/>
                <w:b w:val="0"/>
                <w:color w:val="000000"/>
                <w:sz w:val="19"/>
              </w:rPr>
              <w:t>C</w:t>
            </w:r>
          </w:p>
        </w:tc>
        <w:tc>
          <w:tcPr>
            <w:tcW w:w="1224" w:type="dxa"/>
          </w:tcPr>
          <w:p w14:paraId="0F44AB7B">
            <w:pPr>
              <w:spacing w:after="40" w:line="259" w:lineRule="auto"/>
            </w:pPr>
            <w:r>
              <w:rPr>
                <w:rFonts w:ascii="Times New Roman" w:hAnsi="Times New Roman" w:eastAsia="微软雅黑"/>
                <w:b w:val="0"/>
                <w:color w:val="000000"/>
                <w:sz w:val="19"/>
              </w:rPr>
              <w:t>不能选</w:t>
            </w:r>
          </w:p>
        </w:tc>
        <w:tc>
          <w:tcPr>
            <w:tcW w:w="7344" w:type="dxa"/>
          </w:tcPr>
          <w:p w14:paraId="575B48DE">
            <w:pPr>
              <w:spacing w:after="40" w:line="259" w:lineRule="auto"/>
            </w:pPr>
            <w:r>
              <w:rPr>
                <w:rFonts w:ascii="Times New Roman" w:hAnsi="Times New Roman" w:eastAsia="微软雅黑"/>
                <w:b w:val="0"/>
                <w:color w:val="000000"/>
                <w:sz w:val="19"/>
              </w:rPr>
              <w:t>它可作后文展望，但不是财政分配的例证。</w:t>
            </w:r>
          </w:p>
        </w:tc>
      </w:tr>
      <w:tr w14:paraId="47D846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A91F767">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B980E37">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FB27A00">
            <w:pPr>
              <w:spacing w:after="40" w:line="259" w:lineRule="auto"/>
            </w:pPr>
            <w:r>
              <w:rPr>
                <w:rFonts w:ascii="Times New Roman" w:hAnsi="Times New Roman" w:eastAsia="微软雅黑"/>
                <w:b w:val="0"/>
                <w:color w:val="000000"/>
                <w:sz w:val="19"/>
              </w:rPr>
              <w:t>公司支出已在第43空处理。</w:t>
            </w:r>
          </w:p>
        </w:tc>
      </w:tr>
      <w:tr w14:paraId="156D649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E87B58E">
            <w:pPr>
              <w:spacing w:after="40" w:line="259" w:lineRule="auto"/>
            </w:pPr>
            <w:r>
              <w:rPr>
                <w:rFonts w:ascii="Times New Roman" w:hAnsi="Times New Roman" w:eastAsia="微软雅黑"/>
                <w:b w:val="0"/>
                <w:color w:val="000000"/>
                <w:sz w:val="19"/>
              </w:rPr>
              <w:t>E</w:t>
            </w:r>
          </w:p>
        </w:tc>
        <w:tc>
          <w:tcPr>
            <w:tcW w:w="1224" w:type="dxa"/>
          </w:tcPr>
          <w:p w14:paraId="7FF23195">
            <w:pPr>
              <w:spacing w:after="40" w:line="259" w:lineRule="auto"/>
            </w:pPr>
            <w:r>
              <w:rPr>
                <w:rFonts w:ascii="Times New Roman" w:hAnsi="Times New Roman" w:eastAsia="微软雅黑"/>
                <w:b w:val="0"/>
                <w:color w:val="000000"/>
                <w:sz w:val="19"/>
              </w:rPr>
              <w:t>不能选</w:t>
            </w:r>
          </w:p>
        </w:tc>
        <w:tc>
          <w:tcPr>
            <w:tcW w:w="7344" w:type="dxa"/>
          </w:tcPr>
          <w:p w14:paraId="19F25E7F">
            <w:pPr>
              <w:spacing w:after="40" w:line="259" w:lineRule="auto"/>
            </w:pPr>
            <w:r>
              <w:rPr>
                <w:rFonts w:ascii="Times New Roman" w:hAnsi="Times New Roman" w:eastAsia="微软雅黑"/>
                <w:b w:val="0"/>
                <w:color w:val="000000"/>
                <w:sz w:val="19"/>
              </w:rPr>
              <w:t>当前受益范围已在第44空交代。</w:t>
            </w:r>
          </w:p>
        </w:tc>
      </w:tr>
      <w:tr w14:paraId="56133C1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E6C4B4E">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05FB75C2">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3F18DC1D">
            <w:pPr>
              <w:spacing w:after="40" w:line="259" w:lineRule="auto"/>
            </w:pPr>
            <w:r>
              <w:rPr>
                <w:rFonts w:ascii="Times New Roman" w:hAnsi="Times New Roman" w:eastAsia="微软雅黑"/>
                <w:b w:val="0"/>
                <w:color w:val="000000"/>
                <w:sz w:val="19"/>
              </w:rPr>
              <w:t>承接 stingier，说明财政保守与长期投资安排。</w:t>
            </w:r>
          </w:p>
        </w:tc>
      </w:tr>
      <w:tr w14:paraId="21DC91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067A17D">
            <w:pPr>
              <w:spacing w:after="40" w:line="259" w:lineRule="auto"/>
            </w:pPr>
            <w:r>
              <w:rPr>
                <w:rFonts w:ascii="Times New Roman" w:hAnsi="Times New Roman" w:eastAsia="微软雅黑"/>
                <w:b w:val="0"/>
                <w:color w:val="000000"/>
                <w:sz w:val="19"/>
              </w:rPr>
              <w:t>G</w:t>
            </w:r>
          </w:p>
        </w:tc>
        <w:tc>
          <w:tcPr>
            <w:tcW w:w="1224" w:type="dxa"/>
          </w:tcPr>
          <w:p w14:paraId="0950A312">
            <w:pPr>
              <w:spacing w:after="40" w:line="259" w:lineRule="auto"/>
            </w:pPr>
            <w:r>
              <w:rPr>
                <w:rFonts w:ascii="Times New Roman" w:hAnsi="Times New Roman" w:eastAsia="微软雅黑"/>
                <w:b w:val="0"/>
                <w:color w:val="000000"/>
                <w:sz w:val="19"/>
              </w:rPr>
              <w:t>不能选</w:t>
            </w:r>
          </w:p>
        </w:tc>
        <w:tc>
          <w:tcPr>
            <w:tcW w:w="7344" w:type="dxa"/>
          </w:tcPr>
          <w:p w14:paraId="3C4DF14C">
            <w:pPr>
              <w:spacing w:after="40" w:line="259" w:lineRule="auto"/>
            </w:pPr>
            <w:r>
              <w:rPr>
                <w:rFonts w:ascii="Times New Roman" w:hAnsi="Times New Roman" w:eastAsia="微软雅黑"/>
                <w:b w:val="0"/>
                <w:color w:val="000000"/>
                <w:sz w:val="19"/>
              </w:rPr>
              <w:t>原文没有把红利写成各行业同步受益。</w:t>
            </w:r>
          </w:p>
        </w:tc>
      </w:tr>
    </w:tbl>
    <w:p w14:paraId="162809AD">
      <w:pPr>
        <w:spacing w:after="160" w:line="276" w:lineRule="auto"/>
      </w:pPr>
    </w:p>
    <w:p w14:paraId="209E74BA">
      <w:pPr>
        <w:keepNext/>
        <w:spacing w:before="200" w:after="120"/>
      </w:pPr>
      <w:r>
        <w:rPr>
          <w:rFonts w:ascii="Times New Roman" w:hAnsi="Times New Roman" w:eastAsia="微软雅黑"/>
          <w:b/>
          <w:color w:val="000000"/>
          <w:sz w:val="24"/>
        </w:rPr>
        <w:t>干扰项设置</w:t>
      </w:r>
    </w:p>
    <w:p w14:paraId="224EF941">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【C】利用文末“eventually lift wages”设置前瞻干扰，若误填会打断台湾现况与韩国现状的比较；【G】把“trickle down”极端化为“每行业同步、同速受益”，与文章的节奏差异和国别限定相反。</w:t>
      </w:r>
    </w:p>
    <w:p w14:paraId="6DD7A0F7">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8123FAA">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F74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2429</Words>
  <Characters>5717</Characters>
  <Lines>0</Lines>
  <Paragraphs>0</Paragraphs>
  <TotalTime>0</TotalTime>
  <ScaleCrop>false</ScaleCrop>
  <LinksUpToDate>false</LinksUpToDate>
  <CharactersWithSpaces>6560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469D279922164E9CB5A223A5F1853AEC_12</vt:lpwstr>
  </property>
</Properties>
</file>