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3A7154">
      <w:pPr>
        <w:keepNext/>
        <w:spacing w:before="200" w:after="120"/>
      </w:pPr>
      <w:r>
        <w:rPr>
          <w:rFonts w:ascii="Times New Roman" w:hAnsi="Times New Roman" w:eastAsia="微软雅黑"/>
          <w:b/>
          <w:color w:val="000000"/>
          <w:sz w:val="26"/>
        </w:rPr>
        <w:t>Part B</w:t>
      </w:r>
    </w:p>
    <w:p w14:paraId="7EA1913E">
      <w:pPr>
        <w:spacing w:after="60" w:line="276" w:lineRule="auto"/>
      </w:pPr>
      <w:r>
        <w:rPr>
          <w:rFonts w:ascii="Times New Roman" w:hAnsi="Times New Roman" w:eastAsia="微软雅黑"/>
          <w:b/>
          <w:color w:val="000000"/>
          <w:sz w:val="21"/>
        </w:rPr>
        <w:t>Directions:</w:t>
      </w:r>
    </w:p>
    <w:p w14:paraId="13A82C97">
      <w:pPr>
        <w:spacing w:after="240" w:line="276" w:lineRule="auto"/>
      </w:pPr>
      <w:r>
        <w:rPr>
          <w:rFonts w:ascii="Times New Roman" w:hAnsi="Times New Roman" w:eastAsia="微软雅黑"/>
          <w:b w:val="0"/>
          <w:color w:val="000000"/>
          <w:sz w:val="21"/>
        </w:rPr>
        <w:t>Read the following text and answer the questions by choosing the most suitable subheading from the list A-G for each of the numbered paragraphs (41-45). There are two extra subheadings. Mark your answers on the ANSWER SHEET. (10 points)</w:t>
      </w:r>
    </w:p>
    <w:p w14:paraId="65F0E399">
      <w:pPr>
        <w:spacing w:after="80" w:line="269" w:lineRule="auto"/>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Current limits point to wider uses</w:t>
      </w:r>
    </w:p>
    <w:p w14:paraId="6EA6EA50">
      <w:pPr>
        <w:spacing w:after="80" w:line="269" w:lineRule="auto"/>
        <w:ind w:left="360"/>
      </w:pPr>
      <w:r>
        <w:rPr>
          <w:rFonts w:ascii="Times New Roman" w:hAnsi="Times New Roman" w:eastAsia="微软雅黑"/>
          <w:b/>
          <w:color w:val="000000"/>
          <w:sz w:val="21"/>
        </w:rPr>
        <w:t xml:space="preserve">[B] </w:t>
      </w:r>
      <w:r>
        <w:rPr>
          <w:rFonts w:ascii="Times New Roman" w:hAnsi="Times New Roman" w:eastAsia="微软雅黑"/>
          <w:b w:val="0"/>
          <w:color w:val="000000"/>
          <w:sz w:val="21"/>
        </w:rPr>
        <w:t>Implant placement is precise but time-consuming</w:t>
      </w:r>
    </w:p>
    <w:p w14:paraId="3C81CBD9">
      <w:pPr>
        <w:spacing w:after="80" w:line="269" w:lineRule="auto"/>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The method replaces ordinary speech therapy</w:t>
      </w:r>
    </w:p>
    <w:p w14:paraId="4D16B930">
      <w:pPr>
        <w:spacing w:after="80" w:line="269" w:lineRule="auto"/>
        <w:ind w:left="360"/>
      </w:pPr>
      <w:r>
        <w:rPr>
          <w:rFonts w:ascii="Times New Roman" w:hAnsi="Times New Roman" w:eastAsia="微软雅黑"/>
          <w:b/>
          <w:color w:val="000000"/>
          <w:sz w:val="21"/>
        </w:rPr>
        <w:t xml:space="preserve">[D] </w:t>
      </w:r>
      <w:r>
        <w:rPr>
          <w:rFonts w:ascii="Times New Roman" w:hAnsi="Times New Roman" w:eastAsia="微软雅黑"/>
          <w:b w:val="0"/>
          <w:color w:val="000000"/>
          <w:sz w:val="21"/>
        </w:rPr>
        <w:t>Progress has accelerated over time</w:t>
      </w:r>
    </w:p>
    <w:p w14:paraId="723C5980">
      <w:pPr>
        <w:spacing w:after="80" w:line="269" w:lineRule="auto"/>
        <w:ind w:left="360"/>
      </w:pPr>
      <w:r>
        <w:rPr>
          <w:rFonts w:ascii="Times New Roman" w:hAnsi="Times New Roman" w:eastAsia="微软雅黑"/>
          <w:b/>
          <w:color w:val="000000"/>
          <w:sz w:val="21"/>
        </w:rPr>
        <w:t xml:space="preserve">[E] </w:t>
      </w:r>
      <w:r>
        <w:rPr>
          <w:rFonts w:ascii="Times New Roman" w:hAnsi="Times New Roman" w:eastAsia="微软雅黑"/>
          <w:b w:val="0"/>
          <w:color w:val="000000"/>
          <w:sz w:val="21"/>
        </w:rPr>
        <w:t>Patients soon regain full bodily movement</w:t>
      </w:r>
    </w:p>
    <w:p w14:paraId="66FE1666">
      <w:pPr>
        <w:spacing w:after="80" w:line="269" w:lineRule="auto"/>
        <w:ind w:left="360"/>
      </w:pPr>
      <w:r>
        <w:rPr>
          <w:rFonts w:ascii="Times New Roman" w:hAnsi="Times New Roman" w:eastAsia="微软雅黑"/>
          <w:b/>
          <w:color w:val="000000"/>
          <w:sz w:val="21"/>
        </w:rPr>
        <w:t xml:space="preserve">[F] </w:t>
      </w:r>
      <w:r>
        <w:rPr>
          <w:rFonts w:ascii="Times New Roman" w:hAnsi="Times New Roman" w:eastAsia="微软雅黑"/>
          <w:b w:val="0"/>
          <w:color w:val="000000"/>
          <w:sz w:val="21"/>
        </w:rPr>
        <w:t>Models reconstruct speech and gesture together</w:t>
      </w:r>
    </w:p>
    <w:p w14:paraId="714F75EB">
      <w:pPr>
        <w:spacing w:after="80" w:line="269" w:lineRule="auto"/>
        <w:ind w:left="360"/>
      </w:pPr>
      <w:r>
        <w:rPr>
          <w:rFonts w:ascii="Times New Roman" w:hAnsi="Times New Roman" w:eastAsia="微软雅黑"/>
          <w:b/>
          <w:color w:val="000000"/>
          <w:sz w:val="21"/>
        </w:rPr>
        <w:t xml:space="preserve">[G] </w:t>
      </w:r>
      <w:r>
        <w:rPr>
          <w:rFonts w:ascii="Times New Roman" w:hAnsi="Times New Roman" w:eastAsia="微软雅黑"/>
          <w:b w:val="0"/>
          <w:color w:val="000000"/>
          <w:sz w:val="21"/>
        </w:rPr>
        <w:t>A new result expands expressive communication</w:t>
      </w:r>
    </w:p>
    <w:p w14:paraId="5C11353B">
      <w:pPr>
        <w:spacing w:after="120" w:line="278" w:lineRule="auto"/>
      </w:pPr>
      <w:r>
        <w:rPr>
          <w:rFonts w:ascii="Times New Roman" w:hAnsi="Times New Roman" w:eastAsia="微软雅黑"/>
          <w:b/>
          <w:color w:val="000000"/>
          <w:sz w:val="21"/>
        </w:rPr>
        <w:t xml:space="preserve">(41) </w:t>
      </w:r>
      <w:r>
        <w:rPr>
          <w:rFonts w:ascii="Times New Roman" w:hAnsi="Times New Roman" w:eastAsia="微软雅黑"/>
          <w:b w:val="0"/>
          <w:color w:val="000000"/>
          <w:sz w:val="21"/>
        </w:rPr>
        <w:t>Brain-computer interfaces have come a long way quickly. The first successful decoding of vowel sounds from a neural implant was reported in 2009. In 2021 a team from Edward Chang's lab at the University of California, San Francisco decoded the words and sentences of a patient who could not speak.</w:t>
      </w:r>
    </w:p>
    <w:p w14:paraId="202BB7F1">
      <w:pPr>
        <w:spacing w:after="120" w:line="278" w:lineRule="auto"/>
      </w:pPr>
      <w:r>
        <w:rPr>
          <w:rFonts w:ascii="Times New Roman" w:hAnsi="Times New Roman" w:eastAsia="微软雅黑"/>
          <w:b/>
          <w:color w:val="000000"/>
          <w:sz w:val="21"/>
        </w:rPr>
        <w:t xml:space="preserve">(42) </w:t>
      </w:r>
      <w:r>
        <w:rPr>
          <w:rFonts w:ascii="Times New Roman" w:hAnsi="Times New Roman" w:eastAsia="微软雅黑"/>
          <w:b w:val="0"/>
          <w:color w:val="000000"/>
          <w:sz w:val="21"/>
        </w:rPr>
        <w:t>A new paper by Dr Chang's group, published in Nature Neuroscience, describes the passing of another milestone. He and his colleagues have enabled two severely paralysed people to communicate with them, by means of an avatar, using both words and gestures. That is an auspicious result for the several million individuals around the world paralysed by strokes, traumatic injuries and degenerative illnesses such as motor-neuron disease.</w:t>
      </w:r>
    </w:p>
    <w:p w14:paraId="1812716B">
      <w:pPr>
        <w:spacing w:after="120" w:line="278" w:lineRule="auto"/>
      </w:pPr>
      <w:r>
        <w:rPr>
          <w:rFonts w:ascii="Times New Roman" w:hAnsi="Times New Roman" w:eastAsia="微软雅黑"/>
          <w:b/>
          <w:color w:val="000000"/>
          <w:sz w:val="21"/>
        </w:rPr>
        <w:t xml:space="preserve">(43) </w:t>
      </w:r>
      <w:r>
        <w:rPr>
          <w:rFonts w:ascii="Times New Roman" w:hAnsi="Times New Roman" w:eastAsia="微软雅黑"/>
          <w:b w:val="0"/>
          <w:color w:val="000000"/>
          <w:sz w:val="21"/>
        </w:rPr>
        <w:t>The group did this by implanting, through a small incision in the skull of each patient, an array of sensors that covered a large part of the motor cortex—the brain region responsible for controlling bodily motion. This procedure took over two hours, in part because the process for connecting the sensor array to a data-carrying cable is fiddly. But the team are working on a short-cut, using a wireless device, that would reduce this to 40 minutes.</w:t>
      </w:r>
    </w:p>
    <w:p w14:paraId="452D10BC">
      <w:pPr>
        <w:spacing w:after="120" w:line="278" w:lineRule="auto"/>
      </w:pPr>
      <w:r>
        <w:rPr>
          <w:rFonts w:ascii="Times New Roman" w:hAnsi="Times New Roman" w:eastAsia="微软雅黑"/>
          <w:b/>
          <w:color w:val="000000"/>
          <w:sz w:val="21"/>
        </w:rPr>
        <w:t xml:space="preserve">(44) </w:t>
      </w:r>
      <w:r>
        <w:rPr>
          <w:rFonts w:ascii="Times New Roman" w:hAnsi="Times New Roman" w:eastAsia="微软雅黑"/>
          <w:b w:val="0"/>
          <w:color w:val="000000"/>
          <w:sz w:val="21"/>
        </w:rPr>
        <w:t>The implants themselves allowed Dr Chang and his team to collect signals as the patients attempted to say particular words and make particular gestures. They then used those data to train two machine-learning models for each patient—one to decode the words and the other the gestures—allowing them to reconstruct both actions concurrently with approximately two-thirds accuracy. It is the first occasion that such simultaneous decoding has been achieved, allowing patients to communicate more expressively.</w:t>
      </w:r>
    </w:p>
    <w:p w14:paraId="3E1B949C">
      <w:pPr>
        <w:spacing w:after="120" w:line="278" w:lineRule="auto"/>
      </w:pPr>
      <w:r>
        <w:rPr>
          <w:rFonts w:ascii="Times New Roman" w:hAnsi="Times New Roman" w:eastAsia="微软雅黑"/>
          <w:b/>
          <w:color w:val="000000"/>
          <w:sz w:val="21"/>
        </w:rPr>
        <w:t xml:space="preserve">(45) </w:t>
      </w:r>
      <w:r>
        <w:rPr>
          <w:rFonts w:ascii="Times New Roman" w:hAnsi="Times New Roman" w:eastAsia="微软雅黑"/>
          <w:b w:val="0"/>
          <w:color w:val="000000"/>
          <w:sz w:val="21"/>
        </w:rPr>
        <w:t>There is further to go. These two initial individuals were restricted to a vocabulary of about ten words and phrases, such as “hello” and “nice to meet you”, and a similar number of gestures, such as a clap or a shrug. But Dr Chang and his collaborators are working on raising this to more than 100 actions. They also hope that the sensor array's wide reach across the cortex means it may be possible to monitor not only intentions to communicate but also actions intended for the whole body. That might permit paralysed individuals to operate devices such as robots and exoskeletons, which really would be life-changing.</w:t>
      </w:r>
    </w:p>
    <w:p w14:paraId="6F149417">
      <w:r>
        <w:br w:type="page"/>
      </w:r>
    </w:p>
    <w:p w14:paraId="4D39D0E8">
      <w:pPr>
        <w:keepNext/>
        <w:spacing w:before="280" w:after="120"/>
      </w:pPr>
      <w:r>
        <w:rPr>
          <w:rFonts w:ascii="Times New Roman" w:hAnsi="Times New Roman" w:eastAsia="微软雅黑"/>
          <w:b/>
          <w:color w:val="000000"/>
          <w:sz w:val="28"/>
        </w:rPr>
        <w:t>答案与解析</w:t>
      </w:r>
    </w:p>
    <w:p w14:paraId="53F34670">
      <w:pPr>
        <w:keepNext/>
        <w:spacing w:before="200" w:after="120"/>
      </w:pPr>
      <w:r>
        <w:rPr>
          <w:rFonts w:ascii="Times New Roman" w:hAnsi="Times New Roman" w:eastAsia="微软雅黑"/>
          <w:b/>
          <w:color w:val="000000"/>
          <w:sz w:val="24"/>
        </w:rPr>
        <w:t>答案速查</w:t>
      </w:r>
    </w:p>
    <w:p w14:paraId="547FA42B">
      <w:pPr>
        <w:spacing w:after="200" w:line="276" w:lineRule="auto"/>
      </w:pPr>
      <w:r>
        <w:rPr>
          <w:rFonts w:ascii="Times New Roman" w:hAnsi="Times New Roman" w:eastAsia="微软雅黑"/>
          <w:b/>
          <w:color w:val="000000"/>
          <w:sz w:val="21"/>
        </w:rPr>
        <w:t>41. D    42. G    43. B    44. F    45. A</w:t>
      </w:r>
    </w:p>
    <w:p w14:paraId="0E9BB784">
      <w:pPr>
        <w:keepNext/>
        <w:spacing w:before="200" w:after="120"/>
      </w:pPr>
      <w:r>
        <w:rPr>
          <w:rFonts w:ascii="Times New Roman" w:hAnsi="Times New Roman" w:eastAsia="微软雅黑"/>
          <w:b/>
          <w:color w:val="000000"/>
          <w:sz w:val="24"/>
        </w:rPr>
        <w:t>文章与命题分析</w:t>
      </w:r>
    </w:p>
    <w:p w14:paraId="7D97849D">
      <w:pPr>
        <w:spacing w:after="80" w:line="276" w:lineRule="auto"/>
      </w:pPr>
      <w:r>
        <w:rPr>
          <w:rFonts w:ascii="Times New Roman" w:hAnsi="Times New Roman" w:eastAsia="微软雅黑"/>
          <w:b w:val="0"/>
          <w:color w:val="000000"/>
          <w:sz w:val="21"/>
        </w:rPr>
        <w:t>文章主旨：脑机接口研究快速推进；Edward Chang 团队的新成果首次同时解码言语和手势，使两位重度瘫痪者能借助虚拟形象更有表现力地交流。当前词汇量仍有限，但同一传感器阵列也为未来控制全身设备留下空间。</w:t>
      </w:r>
    </w:p>
    <w:p w14:paraId="13453927">
      <w:pPr>
        <w:spacing w:after="80" w:line="276" w:lineRule="auto"/>
      </w:pPr>
      <w:r>
        <w:rPr>
          <w:rFonts w:ascii="Times New Roman" w:hAnsi="Times New Roman" w:eastAsia="微软雅黑"/>
          <w:b w:val="0"/>
          <w:color w:val="000000"/>
          <w:sz w:val="21"/>
        </w:rPr>
        <w:t>结构脉络：研究进展提速 → 新里程碑扩大交流能力 → 植入过程复杂 → 模型同时重建言语与手势 → 当前限制指向更多交流与身体应用。</w:t>
      </w:r>
    </w:p>
    <w:p w14:paraId="12FFE8F6">
      <w:pPr>
        <w:spacing w:after="80" w:line="276" w:lineRule="auto"/>
      </w:pPr>
      <w:r>
        <w:rPr>
          <w:rFonts w:ascii="Times New Roman" w:hAnsi="Times New Roman" w:eastAsia="微软雅黑"/>
          <w:b w:val="0"/>
          <w:color w:val="000000"/>
          <w:sz w:val="21"/>
        </w:rPr>
        <w:t>题型适配：五段功能边界清楚，分别对应“时间进程—成果意义—手术过程—技术机制—限制与前景”，适合小标题匹配。干扰项则利用方法用途和身体动作设置方向偏差。</w:t>
      </w:r>
    </w:p>
    <w:p w14:paraId="6E9023E0">
      <w:pPr>
        <w:spacing w:after="200" w:line="276" w:lineRule="auto"/>
      </w:pPr>
      <w:r>
        <w:rPr>
          <w:rFonts w:ascii="Times New Roman" w:hAnsi="Times New Roman" w:eastAsia="微软雅黑"/>
          <w:b w:val="0"/>
          <w:color w:val="000000"/>
          <w:sz w:val="21"/>
        </w:rPr>
        <w:t>解题入口：先区分“研究史”“新成果”“植入”“解码机制”“未来用途”五个层面，再核对标题是否覆盖整段，而不是只抓住 gesture、movement 等局部词。</w:t>
      </w:r>
    </w:p>
    <w:p w14:paraId="04B5E890">
      <w:pPr>
        <w:keepNext/>
        <w:spacing w:before="200" w:after="120"/>
      </w:pPr>
      <w:r>
        <w:rPr>
          <w:rFonts w:ascii="Times New Roman" w:hAnsi="Times New Roman" w:eastAsia="微软雅黑"/>
          <w:b/>
          <w:color w:val="000000"/>
          <w:sz w:val="24"/>
        </w:rPr>
        <w:t>选项总览</w:t>
      </w:r>
    </w:p>
    <w:p w14:paraId="6C3A9B13">
      <w:pPr>
        <w:spacing w:after="80"/>
        <w:ind w:left="360"/>
      </w:pPr>
      <w:r>
        <w:rPr>
          <w:rFonts w:ascii="Times New Roman" w:hAnsi="Times New Roman" w:eastAsia="微软雅黑"/>
          <w:b/>
          <w:color w:val="000000"/>
          <w:sz w:val="21"/>
        </w:rPr>
        <w:t xml:space="preserve">[A] </w:t>
      </w:r>
      <w:r>
        <w:rPr>
          <w:rFonts w:ascii="Times New Roman" w:hAnsi="Times New Roman" w:eastAsia="微软雅黑"/>
          <w:b w:val="0"/>
          <w:color w:val="000000"/>
          <w:sz w:val="21"/>
        </w:rPr>
        <w:t>概括当前限制以及扩大词汇量和身体控制的前景，对应第45段。</w:t>
      </w:r>
    </w:p>
    <w:p w14:paraId="3879371F">
      <w:pPr>
        <w:spacing w:after="80"/>
        <w:ind w:left="360"/>
      </w:pPr>
      <w:r>
        <w:rPr>
          <w:rFonts w:ascii="Times New Roman" w:hAnsi="Times New Roman" w:eastAsia="微软雅黑"/>
          <w:b/>
          <w:color w:val="000000"/>
          <w:sz w:val="21"/>
        </w:rPr>
        <w:t xml:space="preserve">[B] </w:t>
      </w:r>
      <w:r>
        <w:rPr>
          <w:rFonts w:ascii="Times New Roman" w:hAnsi="Times New Roman" w:eastAsia="微软雅黑"/>
          <w:b w:val="0"/>
          <w:color w:val="000000"/>
          <w:sz w:val="21"/>
        </w:rPr>
        <w:t>概括植入位置精确但过程费时，对应第43段。</w:t>
      </w:r>
    </w:p>
    <w:p w14:paraId="2A3BF8B8">
      <w:pPr>
        <w:spacing w:after="80"/>
        <w:ind w:left="360"/>
      </w:pPr>
      <w:r>
        <w:rPr>
          <w:rFonts w:ascii="Times New Roman" w:hAnsi="Times New Roman" w:eastAsia="微软雅黑"/>
          <w:b/>
          <w:color w:val="000000"/>
          <w:sz w:val="21"/>
        </w:rPr>
        <w:t xml:space="preserve">[D] </w:t>
      </w:r>
      <w:r>
        <w:rPr>
          <w:rFonts w:ascii="Times New Roman" w:hAnsi="Times New Roman" w:eastAsia="微软雅黑"/>
          <w:b w:val="0"/>
          <w:color w:val="000000"/>
          <w:sz w:val="21"/>
        </w:rPr>
        <w:t>用 2009、2021 和新成果概括进展加快，对应第41段。</w:t>
      </w:r>
    </w:p>
    <w:p w14:paraId="4E0D3958">
      <w:pPr>
        <w:spacing w:after="80"/>
        <w:ind w:left="360"/>
      </w:pPr>
      <w:r>
        <w:rPr>
          <w:rFonts w:ascii="Times New Roman" w:hAnsi="Times New Roman" w:eastAsia="微软雅黑"/>
          <w:b/>
          <w:color w:val="000000"/>
          <w:sz w:val="21"/>
        </w:rPr>
        <w:t xml:space="preserve">[F] </w:t>
      </w:r>
      <w:r>
        <w:rPr>
          <w:rFonts w:ascii="Times New Roman" w:hAnsi="Times New Roman" w:eastAsia="微软雅黑"/>
          <w:b w:val="0"/>
          <w:color w:val="000000"/>
          <w:sz w:val="21"/>
        </w:rPr>
        <w:t>概括两个模型同时重建言语和手势，对应第44段。</w:t>
      </w:r>
    </w:p>
    <w:p w14:paraId="7ACC2984">
      <w:pPr>
        <w:spacing w:after="80"/>
        <w:ind w:left="360"/>
      </w:pPr>
      <w:r>
        <w:rPr>
          <w:rFonts w:ascii="Times New Roman" w:hAnsi="Times New Roman" w:eastAsia="微软雅黑"/>
          <w:b/>
          <w:color w:val="000000"/>
          <w:sz w:val="21"/>
        </w:rPr>
        <w:t xml:space="preserve">[G] </w:t>
      </w:r>
      <w:r>
        <w:rPr>
          <w:rFonts w:ascii="Times New Roman" w:hAnsi="Times New Roman" w:eastAsia="微软雅黑"/>
          <w:b w:val="0"/>
          <w:color w:val="000000"/>
          <w:sz w:val="21"/>
        </w:rPr>
        <w:t>概括新成果让患者同时用言语和手势交流，对应第42段。</w:t>
      </w:r>
    </w:p>
    <w:p w14:paraId="0CE500BD">
      <w:pPr>
        <w:spacing w:after="80"/>
        <w:ind w:left="360"/>
      </w:pPr>
      <w:r>
        <w:rPr>
          <w:rFonts w:ascii="Times New Roman" w:hAnsi="Times New Roman" w:eastAsia="微软雅黑"/>
          <w:b/>
          <w:color w:val="000000"/>
          <w:sz w:val="21"/>
        </w:rPr>
        <w:t xml:space="preserve">[C] </w:t>
      </w:r>
      <w:r>
        <w:rPr>
          <w:rFonts w:ascii="Times New Roman" w:hAnsi="Times New Roman" w:eastAsia="微软雅黑"/>
          <w:b w:val="0"/>
          <w:color w:val="000000"/>
          <w:sz w:val="21"/>
        </w:rPr>
        <w:t>把交流辅助夸大成替代常规言语治疗，原文没有比较或替代关系。</w:t>
      </w:r>
    </w:p>
    <w:p w14:paraId="7F730053">
      <w:pPr>
        <w:spacing w:after="80"/>
        <w:ind w:left="360"/>
      </w:pPr>
      <w:r>
        <w:rPr>
          <w:rFonts w:ascii="Times New Roman" w:hAnsi="Times New Roman" w:eastAsia="微软雅黑"/>
          <w:b/>
          <w:color w:val="000000"/>
          <w:sz w:val="21"/>
        </w:rPr>
        <w:t xml:space="preserve">[E] </w:t>
      </w:r>
      <w:r>
        <w:rPr>
          <w:rFonts w:ascii="Times New Roman" w:hAnsi="Times New Roman" w:eastAsia="微软雅黑"/>
          <w:b w:val="0"/>
          <w:color w:val="000000"/>
          <w:sz w:val="21"/>
        </w:rPr>
        <w:t>把未来可能帮助操作外骨骼说成患者很快恢复全身行动，程度和方向失真。</w:t>
      </w:r>
    </w:p>
    <w:p w14:paraId="50573EA7">
      <w:pPr>
        <w:spacing w:after="120" w:line="276" w:lineRule="auto"/>
      </w:pPr>
    </w:p>
    <w:p w14:paraId="3DDF33B7">
      <w:pPr>
        <w:keepNext/>
        <w:spacing w:before="200" w:after="120"/>
      </w:pPr>
      <w:r>
        <w:rPr>
          <w:rFonts w:ascii="Times New Roman" w:hAnsi="Times New Roman" w:eastAsia="微软雅黑"/>
          <w:b/>
          <w:color w:val="000000"/>
          <w:sz w:val="23"/>
        </w:rPr>
        <w:t>41.【答案】D</w:t>
      </w:r>
    </w:p>
    <w:p w14:paraId="57D075B5">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第41段，首句与 2009、2021 两个时间点。</w:t>
      </w:r>
    </w:p>
    <w:p w14:paraId="75C01CC3">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本段以“come a long way quickly”开头，随后用 2009 年解码元音、2021 年解码词语和句子说明跨越幅度。标题【D】中的“progress”和“accelerated over time”正对应这条时间线。</w:t>
      </w:r>
    </w:p>
    <w:p w14:paraId="0FEED359">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4D86C08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5B69F32D">
            <w:pPr>
              <w:spacing w:after="40"/>
            </w:pPr>
            <w:r>
              <w:rPr>
                <w:rFonts w:ascii="Times New Roman" w:hAnsi="Times New Roman" w:eastAsia="微软雅黑"/>
                <w:b/>
                <w:color w:val="FFFFFF"/>
                <w:sz w:val="20"/>
              </w:rPr>
              <w:t>选项</w:t>
            </w:r>
          </w:p>
        </w:tc>
        <w:tc>
          <w:tcPr>
            <w:tcW w:w="1224" w:type="dxa"/>
            <w:shd w:val="clear" w:color="auto" w:fill="1F4E79"/>
          </w:tcPr>
          <w:p w14:paraId="7637A6BE">
            <w:pPr>
              <w:spacing w:after="40"/>
            </w:pPr>
            <w:r>
              <w:rPr>
                <w:rFonts w:ascii="Times New Roman" w:hAnsi="Times New Roman" w:eastAsia="微软雅黑"/>
                <w:b/>
                <w:color w:val="FFFFFF"/>
                <w:sz w:val="20"/>
              </w:rPr>
              <w:t>判断</w:t>
            </w:r>
          </w:p>
        </w:tc>
        <w:tc>
          <w:tcPr>
            <w:tcW w:w="7344" w:type="dxa"/>
            <w:shd w:val="clear" w:color="auto" w:fill="1F4E79"/>
          </w:tcPr>
          <w:p w14:paraId="301D4FC7">
            <w:pPr>
              <w:spacing w:after="40"/>
            </w:pPr>
            <w:r>
              <w:rPr>
                <w:rFonts w:ascii="Times New Roman" w:hAnsi="Times New Roman" w:eastAsia="微软雅黑"/>
                <w:b/>
                <w:color w:val="FFFFFF"/>
                <w:sz w:val="20"/>
              </w:rPr>
              <w:t>理由</w:t>
            </w:r>
          </w:p>
        </w:tc>
      </w:tr>
      <w:tr w14:paraId="1A96D9A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18DBB3D9">
            <w:pPr>
              <w:spacing w:after="40" w:line="259" w:lineRule="auto"/>
            </w:pPr>
            <w:r>
              <w:rPr>
                <w:rFonts w:ascii="Times New Roman" w:hAnsi="Times New Roman" w:eastAsia="微软雅黑"/>
                <w:b w:val="0"/>
                <w:color w:val="000000"/>
                <w:sz w:val="19"/>
              </w:rPr>
              <w:t>A</w:t>
            </w:r>
          </w:p>
        </w:tc>
        <w:tc>
          <w:tcPr>
            <w:tcW w:w="1224" w:type="dxa"/>
          </w:tcPr>
          <w:p w14:paraId="5C64909F">
            <w:pPr>
              <w:spacing w:after="40" w:line="259" w:lineRule="auto"/>
            </w:pPr>
            <w:r>
              <w:rPr>
                <w:rFonts w:ascii="Times New Roman" w:hAnsi="Times New Roman" w:eastAsia="微软雅黑"/>
                <w:b w:val="0"/>
                <w:color w:val="000000"/>
                <w:sz w:val="19"/>
              </w:rPr>
              <w:t>不能选</w:t>
            </w:r>
          </w:p>
        </w:tc>
        <w:tc>
          <w:tcPr>
            <w:tcW w:w="7344" w:type="dxa"/>
          </w:tcPr>
          <w:p w14:paraId="457CD3CC">
            <w:pPr>
              <w:spacing w:after="40" w:line="259" w:lineRule="auto"/>
            </w:pPr>
            <w:r>
              <w:rPr>
                <w:rFonts w:ascii="Times New Roman" w:hAnsi="Times New Roman" w:eastAsia="微软雅黑"/>
                <w:b w:val="0"/>
                <w:color w:val="000000"/>
                <w:sz w:val="19"/>
              </w:rPr>
              <w:t>扩大词汇量和身体应用是第45段的前景。</w:t>
            </w:r>
          </w:p>
        </w:tc>
      </w:tr>
      <w:tr w14:paraId="7D0CD21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61BAE73C">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225B8631">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2713672C">
            <w:pPr>
              <w:spacing w:after="40" w:line="259" w:lineRule="auto"/>
            </w:pPr>
            <w:r>
              <w:rPr>
                <w:rFonts w:ascii="Times New Roman" w:hAnsi="Times New Roman" w:eastAsia="微软雅黑"/>
                <w:b w:val="0"/>
                <w:color w:val="000000"/>
                <w:sz w:val="19"/>
              </w:rPr>
              <w:t>植入位置和手术时长属于第43段。</w:t>
            </w:r>
          </w:p>
        </w:tc>
      </w:tr>
      <w:tr w14:paraId="0A38A24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3771F51">
            <w:pPr>
              <w:spacing w:after="40" w:line="259" w:lineRule="auto"/>
            </w:pPr>
            <w:r>
              <w:rPr>
                <w:rFonts w:ascii="Times New Roman" w:hAnsi="Times New Roman" w:eastAsia="微软雅黑"/>
                <w:b w:val="0"/>
                <w:color w:val="000000"/>
                <w:sz w:val="19"/>
              </w:rPr>
              <w:t>D</w:t>
            </w:r>
          </w:p>
        </w:tc>
        <w:tc>
          <w:tcPr>
            <w:tcW w:w="1224" w:type="dxa"/>
          </w:tcPr>
          <w:p w14:paraId="08BF49ED">
            <w:pPr>
              <w:spacing w:after="40" w:line="259" w:lineRule="auto"/>
            </w:pPr>
            <w:r>
              <w:rPr>
                <w:rFonts w:ascii="Times New Roman" w:hAnsi="Times New Roman" w:eastAsia="微软雅黑"/>
                <w:b w:val="0"/>
                <w:color w:val="000000"/>
                <w:sz w:val="19"/>
              </w:rPr>
              <w:t>正确</w:t>
            </w:r>
          </w:p>
        </w:tc>
        <w:tc>
          <w:tcPr>
            <w:tcW w:w="7344" w:type="dxa"/>
          </w:tcPr>
          <w:p w14:paraId="045FC3F6">
            <w:pPr>
              <w:spacing w:after="40" w:line="259" w:lineRule="auto"/>
            </w:pPr>
            <w:r>
              <w:rPr>
                <w:rFonts w:ascii="Times New Roman" w:hAnsi="Times New Roman" w:eastAsia="微软雅黑"/>
                <w:b w:val="0"/>
                <w:color w:val="000000"/>
                <w:sz w:val="19"/>
              </w:rPr>
              <w:t>由“quickly”和时间例证概括研究进展加速。</w:t>
            </w:r>
          </w:p>
        </w:tc>
      </w:tr>
      <w:tr w14:paraId="4EC96FD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01A8E2D1">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20206C78">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71419FD7">
            <w:pPr>
              <w:spacing w:after="40" w:line="259" w:lineRule="auto"/>
            </w:pPr>
            <w:r>
              <w:rPr>
                <w:rFonts w:ascii="Times New Roman" w:hAnsi="Times New Roman" w:eastAsia="微软雅黑"/>
                <w:b w:val="0"/>
                <w:color w:val="000000"/>
                <w:sz w:val="19"/>
              </w:rPr>
              <w:t>同时解码尚未在本段出现。</w:t>
            </w:r>
          </w:p>
        </w:tc>
      </w:tr>
      <w:tr w14:paraId="699D10E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C60BE70">
            <w:pPr>
              <w:spacing w:after="40" w:line="259" w:lineRule="auto"/>
            </w:pPr>
            <w:r>
              <w:rPr>
                <w:rFonts w:ascii="Times New Roman" w:hAnsi="Times New Roman" w:eastAsia="微软雅黑"/>
                <w:b w:val="0"/>
                <w:color w:val="000000"/>
                <w:sz w:val="19"/>
              </w:rPr>
              <w:t>G</w:t>
            </w:r>
          </w:p>
        </w:tc>
        <w:tc>
          <w:tcPr>
            <w:tcW w:w="1224" w:type="dxa"/>
          </w:tcPr>
          <w:p w14:paraId="2C4DC4CD">
            <w:pPr>
              <w:spacing w:after="40" w:line="259" w:lineRule="auto"/>
            </w:pPr>
            <w:r>
              <w:rPr>
                <w:rFonts w:ascii="Times New Roman" w:hAnsi="Times New Roman" w:eastAsia="微软雅黑"/>
                <w:b w:val="0"/>
                <w:color w:val="000000"/>
                <w:sz w:val="19"/>
              </w:rPr>
              <w:t>不能选</w:t>
            </w:r>
          </w:p>
        </w:tc>
        <w:tc>
          <w:tcPr>
            <w:tcW w:w="7344" w:type="dxa"/>
          </w:tcPr>
          <w:p w14:paraId="4EEBF7FE">
            <w:pPr>
              <w:spacing w:after="40" w:line="259" w:lineRule="auto"/>
            </w:pPr>
            <w:r>
              <w:rPr>
                <w:rFonts w:ascii="Times New Roman" w:hAnsi="Times New Roman" w:eastAsia="微软雅黑"/>
                <w:b w:val="0"/>
                <w:color w:val="000000"/>
                <w:sz w:val="19"/>
              </w:rPr>
              <w:t>新论文和新成果从第42段才进入。</w:t>
            </w:r>
          </w:p>
        </w:tc>
      </w:tr>
    </w:tbl>
    <w:p w14:paraId="7155FA40">
      <w:pPr>
        <w:spacing w:after="160" w:line="276" w:lineRule="auto"/>
      </w:pPr>
    </w:p>
    <w:p w14:paraId="475FD880">
      <w:pPr>
        <w:keepNext/>
        <w:spacing w:before="200" w:after="120"/>
      </w:pPr>
      <w:r>
        <w:rPr>
          <w:rFonts w:ascii="Times New Roman" w:hAnsi="Times New Roman" w:eastAsia="微软雅黑"/>
          <w:b/>
          <w:color w:val="000000"/>
          <w:sz w:val="23"/>
        </w:rPr>
        <w:t>42.【答案】G</w:t>
      </w:r>
    </w:p>
    <w:p w14:paraId="40B4316B">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第42段，首句“another milestone”与其后成果说明。</w:t>
      </w:r>
    </w:p>
    <w:p w14:paraId="3D7F5444">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【G】抓住“a new paper”和“another milestone”，并把后文“using both words and gestures”概括为“expands expressive communication”。这比只看某一个词更能覆盖整段的成果意义。</w:t>
      </w:r>
    </w:p>
    <w:p w14:paraId="192E6162">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628B309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5F586FED">
            <w:pPr>
              <w:spacing w:after="40"/>
            </w:pPr>
            <w:r>
              <w:rPr>
                <w:rFonts w:ascii="Times New Roman" w:hAnsi="Times New Roman" w:eastAsia="微软雅黑"/>
                <w:b/>
                <w:color w:val="FFFFFF"/>
                <w:sz w:val="20"/>
              </w:rPr>
              <w:t>选项</w:t>
            </w:r>
          </w:p>
        </w:tc>
        <w:tc>
          <w:tcPr>
            <w:tcW w:w="1224" w:type="dxa"/>
            <w:shd w:val="clear" w:color="auto" w:fill="1F4E79"/>
          </w:tcPr>
          <w:p w14:paraId="4343E47D">
            <w:pPr>
              <w:spacing w:after="40"/>
            </w:pPr>
            <w:r>
              <w:rPr>
                <w:rFonts w:ascii="Times New Roman" w:hAnsi="Times New Roman" w:eastAsia="微软雅黑"/>
                <w:b/>
                <w:color w:val="FFFFFF"/>
                <w:sz w:val="20"/>
              </w:rPr>
              <w:t>判断</w:t>
            </w:r>
          </w:p>
        </w:tc>
        <w:tc>
          <w:tcPr>
            <w:tcW w:w="7344" w:type="dxa"/>
            <w:shd w:val="clear" w:color="auto" w:fill="1F4E79"/>
          </w:tcPr>
          <w:p w14:paraId="608C4862">
            <w:pPr>
              <w:spacing w:after="40"/>
            </w:pPr>
            <w:r>
              <w:rPr>
                <w:rFonts w:ascii="Times New Roman" w:hAnsi="Times New Roman" w:eastAsia="微软雅黑"/>
                <w:b/>
                <w:color w:val="FFFFFF"/>
                <w:sz w:val="20"/>
              </w:rPr>
              <w:t>理由</w:t>
            </w:r>
          </w:p>
        </w:tc>
      </w:tr>
      <w:tr w14:paraId="4A58B5B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2E75B0DB">
            <w:pPr>
              <w:spacing w:after="40" w:line="259" w:lineRule="auto"/>
            </w:pPr>
            <w:r>
              <w:rPr>
                <w:rFonts w:ascii="Times New Roman" w:hAnsi="Times New Roman" w:eastAsia="微软雅黑"/>
                <w:b w:val="0"/>
                <w:color w:val="000000"/>
                <w:sz w:val="19"/>
              </w:rPr>
              <w:t>A</w:t>
            </w:r>
          </w:p>
        </w:tc>
        <w:tc>
          <w:tcPr>
            <w:tcW w:w="1224" w:type="dxa"/>
          </w:tcPr>
          <w:p w14:paraId="04C61B9A">
            <w:pPr>
              <w:spacing w:after="40" w:line="259" w:lineRule="auto"/>
            </w:pPr>
            <w:r>
              <w:rPr>
                <w:rFonts w:ascii="Times New Roman" w:hAnsi="Times New Roman" w:eastAsia="微软雅黑"/>
                <w:b w:val="0"/>
                <w:color w:val="000000"/>
                <w:sz w:val="19"/>
              </w:rPr>
              <w:t>不能选</w:t>
            </w:r>
          </w:p>
        </w:tc>
        <w:tc>
          <w:tcPr>
            <w:tcW w:w="7344" w:type="dxa"/>
          </w:tcPr>
          <w:p w14:paraId="60B82544">
            <w:pPr>
              <w:spacing w:after="40" w:line="259" w:lineRule="auto"/>
            </w:pPr>
            <w:r>
              <w:rPr>
                <w:rFonts w:ascii="Times New Roman" w:hAnsi="Times New Roman" w:eastAsia="微软雅黑"/>
                <w:b w:val="0"/>
                <w:color w:val="000000"/>
                <w:sz w:val="19"/>
              </w:rPr>
              <w:t>本段写已经取得的交流成果，而不是当前限制后的新用途。</w:t>
            </w:r>
          </w:p>
        </w:tc>
      </w:tr>
      <w:tr w14:paraId="3423F1C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70B4115B">
            <w:pPr>
              <w:spacing w:after="40" w:line="259" w:lineRule="auto"/>
            </w:pPr>
            <w:r>
              <w:rPr>
                <w:rFonts w:ascii="Times New Roman" w:hAnsi="Times New Roman" w:eastAsia="微软雅黑"/>
                <w:b w:val="0"/>
                <w:color w:val="000000"/>
                <w:sz w:val="19"/>
              </w:rPr>
              <w:t>D</w:t>
            </w:r>
          </w:p>
        </w:tc>
        <w:tc>
          <w:tcPr>
            <w:tcW w:w="1224" w:type="dxa"/>
            <w:shd w:val="clear" w:color="auto" w:fill="EAF2F8"/>
          </w:tcPr>
          <w:p w14:paraId="78E00838">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10F25F49">
            <w:pPr>
              <w:spacing w:after="40" w:line="259" w:lineRule="auto"/>
            </w:pPr>
            <w:r>
              <w:rPr>
                <w:rFonts w:ascii="Times New Roman" w:hAnsi="Times New Roman" w:eastAsia="微软雅黑"/>
                <w:b w:val="0"/>
                <w:color w:val="000000"/>
                <w:sz w:val="19"/>
              </w:rPr>
              <w:t>时间对比主要在上一段，本段重点是新成果的意义。</w:t>
            </w:r>
          </w:p>
        </w:tc>
      </w:tr>
      <w:tr w14:paraId="3ED4B07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DA849BB">
            <w:pPr>
              <w:spacing w:after="40" w:line="259" w:lineRule="auto"/>
            </w:pPr>
            <w:r>
              <w:rPr>
                <w:rFonts w:ascii="Times New Roman" w:hAnsi="Times New Roman" w:eastAsia="微软雅黑"/>
                <w:b w:val="0"/>
                <w:color w:val="000000"/>
                <w:sz w:val="19"/>
              </w:rPr>
              <w:t>F</w:t>
            </w:r>
          </w:p>
        </w:tc>
        <w:tc>
          <w:tcPr>
            <w:tcW w:w="1224" w:type="dxa"/>
          </w:tcPr>
          <w:p w14:paraId="211E35A1">
            <w:pPr>
              <w:spacing w:after="40" w:line="259" w:lineRule="auto"/>
            </w:pPr>
            <w:r>
              <w:rPr>
                <w:rFonts w:ascii="Times New Roman" w:hAnsi="Times New Roman" w:eastAsia="微软雅黑"/>
                <w:b w:val="0"/>
                <w:color w:val="000000"/>
                <w:sz w:val="19"/>
              </w:rPr>
              <w:t>不能选</w:t>
            </w:r>
          </w:p>
        </w:tc>
        <w:tc>
          <w:tcPr>
            <w:tcW w:w="7344" w:type="dxa"/>
          </w:tcPr>
          <w:p w14:paraId="2AB7BADE">
            <w:pPr>
              <w:spacing w:after="40" w:line="259" w:lineRule="auto"/>
            </w:pPr>
            <w:r>
              <w:rPr>
                <w:rFonts w:ascii="Times New Roman" w:hAnsi="Times New Roman" w:eastAsia="微软雅黑"/>
                <w:b w:val="0"/>
                <w:color w:val="000000"/>
                <w:sz w:val="19"/>
              </w:rPr>
              <w:t>两个模型的同步重建机制要到第44段才说明。</w:t>
            </w:r>
          </w:p>
        </w:tc>
      </w:tr>
      <w:tr w14:paraId="716D36E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5243EEFD">
            <w:pPr>
              <w:spacing w:after="40" w:line="259" w:lineRule="auto"/>
            </w:pPr>
            <w:r>
              <w:rPr>
                <w:rFonts w:ascii="Times New Roman" w:hAnsi="Times New Roman" w:eastAsia="微软雅黑"/>
                <w:b w:val="0"/>
                <w:color w:val="000000"/>
                <w:sz w:val="19"/>
              </w:rPr>
              <w:t>G</w:t>
            </w:r>
          </w:p>
        </w:tc>
        <w:tc>
          <w:tcPr>
            <w:tcW w:w="1224" w:type="dxa"/>
            <w:shd w:val="clear" w:color="auto" w:fill="EAF2F8"/>
          </w:tcPr>
          <w:p w14:paraId="3A1863A5">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0F86D66B">
            <w:pPr>
              <w:spacing w:after="40" w:line="259" w:lineRule="auto"/>
            </w:pPr>
            <w:r>
              <w:rPr>
                <w:rFonts w:ascii="Times New Roman" w:hAnsi="Times New Roman" w:eastAsia="微软雅黑"/>
                <w:b w:val="0"/>
                <w:color w:val="000000"/>
                <w:sz w:val="19"/>
              </w:rPr>
              <w:t>新成果同时扩展言语与手势表达，且面向大量瘫痪患者。</w:t>
            </w:r>
          </w:p>
        </w:tc>
      </w:tr>
    </w:tbl>
    <w:p w14:paraId="0C698D3F">
      <w:pPr>
        <w:spacing w:after="160" w:line="276" w:lineRule="auto"/>
      </w:pPr>
    </w:p>
    <w:p w14:paraId="379A8067">
      <w:pPr>
        <w:keepNext/>
        <w:spacing w:before="200" w:after="120"/>
      </w:pPr>
      <w:r>
        <w:rPr>
          <w:rFonts w:ascii="Times New Roman" w:hAnsi="Times New Roman" w:eastAsia="微软雅黑"/>
          <w:b/>
          <w:color w:val="000000"/>
          <w:sz w:val="23"/>
        </w:rPr>
        <w:t>43.【答案】B</w:t>
      </w:r>
    </w:p>
    <w:p w14:paraId="17E60DF7">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第43段，small incision、motor cortex 与 two hours。</w:t>
      </w:r>
    </w:p>
    <w:p w14:paraId="68BCE6EC">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本段先写传感器阵列通过颅骨小切口覆盖运动皮层，说明定位精准；再用“took over two hours”和“fiddly”说明过程费时。标题【B】同时保留“precise”和“time-consuming”两点。</w:t>
      </w:r>
    </w:p>
    <w:p w14:paraId="4A16E153">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2E0F561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1B67378C">
            <w:pPr>
              <w:spacing w:after="40"/>
            </w:pPr>
            <w:r>
              <w:rPr>
                <w:rFonts w:ascii="Times New Roman" w:hAnsi="Times New Roman" w:eastAsia="微软雅黑"/>
                <w:b/>
                <w:color w:val="FFFFFF"/>
                <w:sz w:val="20"/>
              </w:rPr>
              <w:t>选项</w:t>
            </w:r>
          </w:p>
        </w:tc>
        <w:tc>
          <w:tcPr>
            <w:tcW w:w="1224" w:type="dxa"/>
            <w:shd w:val="clear" w:color="auto" w:fill="1F4E79"/>
          </w:tcPr>
          <w:p w14:paraId="4A18F617">
            <w:pPr>
              <w:spacing w:after="40"/>
            </w:pPr>
            <w:r>
              <w:rPr>
                <w:rFonts w:ascii="Times New Roman" w:hAnsi="Times New Roman" w:eastAsia="微软雅黑"/>
                <w:b/>
                <w:color w:val="FFFFFF"/>
                <w:sz w:val="20"/>
              </w:rPr>
              <w:t>判断</w:t>
            </w:r>
          </w:p>
        </w:tc>
        <w:tc>
          <w:tcPr>
            <w:tcW w:w="7344" w:type="dxa"/>
            <w:shd w:val="clear" w:color="auto" w:fill="1F4E79"/>
          </w:tcPr>
          <w:p w14:paraId="3AF2FCF0">
            <w:pPr>
              <w:spacing w:after="40"/>
            </w:pPr>
            <w:r>
              <w:rPr>
                <w:rFonts w:ascii="Times New Roman" w:hAnsi="Times New Roman" w:eastAsia="微软雅黑"/>
                <w:b/>
                <w:color w:val="FFFFFF"/>
                <w:sz w:val="20"/>
              </w:rPr>
              <w:t>理由</w:t>
            </w:r>
          </w:p>
        </w:tc>
      </w:tr>
      <w:tr w14:paraId="6B16E5B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7C8E4C05">
            <w:pPr>
              <w:spacing w:after="40" w:line="259" w:lineRule="auto"/>
            </w:pPr>
            <w:r>
              <w:rPr>
                <w:rFonts w:ascii="Times New Roman" w:hAnsi="Times New Roman" w:eastAsia="微软雅黑"/>
                <w:b w:val="0"/>
                <w:color w:val="000000"/>
                <w:sz w:val="19"/>
              </w:rPr>
              <w:t>A</w:t>
            </w:r>
          </w:p>
        </w:tc>
        <w:tc>
          <w:tcPr>
            <w:tcW w:w="1224" w:type="dxa"/>
          </w:tcPr>
          <w:p w14:paraId="41CAF92B">
            <w:pPr>
              <w:spacing w:after="40" w:line="259" w:lineRule="auto"/>
            </w:pPr>
            <w:r>
              <w:rPr>
                <w:rFonts w:ascii="Times New Roman" w:hAnsi="Times New Roman" w:eastAsia="微软雅黑"/>
                <w:b w:val="0"/>
                <w:color w:val="000000"/>
                <w:sz w:val="19"/>
              </w:rPr>
              <w:t>不能选</w:t>
            </w:r>
          </w:p>
        </w:tc>
        <w:tc>
          <w:tcPr>
            <w:tcW w:w="7344" w:type="dxa"/>
          </w:tcPr>
          <w:p w14:paraId="19AE2B70">
            <w:pPr>
              <w:spacing w:after="40" w:line="259" w:lineRule="auto"/>
            </w:pPr>
            <w:r>
              <w:rPr>
                <w:rFonts w:ascii="Times New Roman" w:hAnsi="Times New Roman" w:eastAsia="微软雅黑"/>
                <w:b w:val="0"/>
                <w:color w:val="000000"/>
                <w:sz w:val="19"/>
              </w:rPr>
              <w:t>词汇量限制和全身设备应用在第45段。</w:t>
            </w:r>
          </w:p>
        </w:tc>
      </w:tr>
      <w:tr w14:paraId="6E51D66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38972CD1">
            <w:pPr>
              <w:spacing w:after="40" w:line="259" w:lineRule="auto"/>
            </w:pPr>
            <w:r>
              <w:rPr>
                <w:rFonts w:ascii="Times New Roman" w:hAnsi="Times New Roman" w:eastAsia="微软雅黑"/>
                <w:b w:val="0"/>
                <w:color w:val="000000"/>
                <w:sz w:val="19"/>
              </w:rPr>
              <w:t>B</w:t>
            </w:r>
          </w:p>
        </w:tc>
        <w:tc>
          <w:tcPr>
            <w:tcW w:w="1224" w:type="dxa"/>
            <w:shd w:val="clear" w:color="auto" w:fill="EAF2F8"/>
          </w:tcPr>
          <w:p w14:paraId="2B2B4FB8">
            <w:pPr>
              <w:spacing w:after="40" w:line="259" w:lineRule="auto"/>
            </w:pPr>
            <w:r>
              <w:rPr>
                <w:rFonts w:ascii="Times New Roman" w:hAnsi="Times New Roman" w:eastAsia="微软雅黑"/>
                <w:b w:val="0"/>
                <w:color w:val="000000"/>
                <w:sz w:val="19"/>
              </w:rPr>
              <w:t>正确</w:t>
            </w:r>
          </w:p>
        </w:tc>
        <w:tc>
          <w:tcPr>
            <w:tcW w:w="7344" w:type="dxa"/>
            <w:shd w:val="clear" w:color="auto" w:fill="EAF2F8"/>
          </w:tcPr>
          <w:p w14:paraId="49202883">
            <w:pPr>
              <w:spacing w:after="40" w:line="259" w:lineRule="auto"/>
            </w:pPr>
            <w:r>
              <w:rPr>
                <w:rFonts w:ascii="Times New Roman" w:hAnsi="Times New Roman" w:eastAsia="微软雅黑"/>
                <w:b w:val="0"/>
                <w:color w:val="000000"/>
                <w:sz w:val="19"/>
              </w:rPr>
              <w:t>精准覆盖运动皮层，但连接阵列使手术超过两小时。</w:t>
            </w:r>
          </w:p>
        </w:tc>
      </w:tr>
      <w:tr w14:paraId="797A64F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67E8AE45">
            <w:pPr>
              <w:spacing w:after="40" w:line="259" w:lineRule="auto"/>
            </w:pPr>
            <w:r>
              <w:rPr>
                <w:rFonts w:ascii="Times New Roman" w:hAnsi="Times New Roman" w:eastAsia="微软雅黑"/>
                <w:b w:val="0"/>
                <w:color w:val="000000"/>
                <w:sz w:val="19"/>
              </w:rPr>
              <w:t>E</w:t>
            </w:r>
          </w:p>
        </w:tc>
        <w:tc>
          <w:tcPr>
            <w:tcW w:w="1224" w:type="dxa"/>
          </w:tcPr>
          <w:p w14:paraId="34E6D864">
            <w:pPr>
              <w:spacing w:after="40" w:line="259" w:lineRule="auto"/>
            </w:pPr>
            <w:r>
              <w:rPr>
                <w:rFonts w:ascii="Times New Roman" w:hAnsi="Times New Roman" w:eastAsia="微软雅黑"/>
                <w:b w:val="0"/>
                <w:color w:val="000000"/>
                <w:sz w:val="19"/>
              </w:rPr>
              <w:t>不能选</w:t>
            </w:r>
          </w:p>
        </w:tc>
        <w:tc>
          <w:tcPr>
            <w:tcW w:w="7344" w:type="dxa"/>
          </w:tcPr>
          <w:p w14:paraId="22DA40F1">
            <w:pPr>
              <w:spacing w:after="40" w:line="259" w:lineRule="auto"/>
            </w:pPr>
            <w:r>
              <w:rPr>
                <w:rFonts w:ascii="Times New Roman" w:hAnsi="Times New Roman" w:eastAsia="微软雅黑"/>
                <w:b w:val="0"/>
                <w:color w:val="000000"/>
                <w:sz w:val="19"/>
              </w:rPr>
              <w:t>原文没有说患者因植入而很快恢复身体行动。</w:t>
            </w:r>
          </w:p>
        </w:tc>
      </w:tr>
      <w:tr w14:paraId="06185AD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64B2AE0C">
            <w:pPr>
              <w:spacing w:after="40" w:line="259" w:lineRule="auto"/>
            </w:pPr>
            <w:r>
              <w:rPr>
                <w:rFonts w:ascii="Times New Roman" w:hAnsi="Times New Roman" w:eastAsia="微软雅黑"/>
                <w:b w:val="0"/>
                <w:color w:val="000000"/>
                <w:sz w:val="19"/>
              </w:rPr>
              <w:t>F</w:t>
            </w:r>
          </w:p>
        </w:tc>
        <w:tc>
          <w:tcPr>
            <w:tcW w:w="1224" w:type="dxa"/>
            <w:shd w:val="clear" w:color="auto" w:fill="EAF2F8"/>
          </w:tcPr>
          <w:p w14:paraId="0DA7299F">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3840A2E8">
            <w:pPr>
              <w:spacing w:after="40" w:line="259" w:lineRule="auto"/>
            </w:pPr>
            <w:r>
              <w:rPr>
                <w:rFonts w:ascii="Times New Roman" w:hAnsi="Times New Roman" w:eastAsia="微软雅黑"/>
                <w:b w:val="0"/>
                <w:color w:val="000000"/>
                <w:sz w:val="19"/>
              </w:rPr>
              <w:t>机器学习模型属于下一段的解码机制。</w:t>
            </w:r>
          </w:p>
        </w:tc>
      </w:tr>
    </w:tbl>
    <w:p w14:paraId="753D5B19">
      <w:pPr>
        <w:spacing w:after="160" w:line="276" w:lineRule="auto"/>
      </w:pPr>
    </w:p>
    <w:p w14:paraId="4E83C46B">
      <w:pPr>
        <w:keepNext/>
        <w:spacing w:before="200" w:after="120"/>
      </w:pPr>
      <w:r>
        <w:rPr>
          <w:rFonts w:ascii="Times New Roman" w:hAnsi="Times New Roman" w:eastAsia="微软雅黑"/>
          <w:b/>
          <w:color w:val="000000"/>
          <w:sz w:val="23"/>
        </w:rPr>
        <w:t>44.【答案】F</w:t>
      </w:r>
    </w:p>
    <w:p w14:paraId="24927B6C">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第44段，two machine-learning models 与 concurrently。</w:t>
      </w:r>
    </w:p>
    <w:p w14:paraId="1A34BF73">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段落说明研究团队分别训练解码词语和解码手势的模型，再以约三分之二准确率同时重建两类动作，并强调这是首次实现 simultaneous decoding。【F】正是这一技术机制的概括。</w:t>
      </w:r>
    </w:p>
    <w:p w14:paraId="25268499">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6FCBBB0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11A3D5AD">
            <w:pPr>
              <w:spacing w:after="40"/>
            </w:pPr>
            <w:r>
              <w:rPr>
                <w:rFonts w:ascii="Times New Roman" w:hAnsi="Times New Roman" w:eastAsia="微软雅黑"/>
                <w:b/>
                <w:color w:val="FFFFFF"/>
                <w:sz w:val="20"/>
              </w:rPr>
              <w:t>选项</w:t>
            </w:r>
          </w:p>
        </w:tc>
        <w:tc>
          <w:tcPr>
            <w:tcW w:w="1224" w:type="dxa"/>
            <w:shd w:val="clear" w:color="auto" w:fill="1F4E79"/>
          </w:tcPr>
          <w:p w14:paraId="2A29E7AB">
            <w:pPr>
              <w:spacing w:after="40"/>
            </w:pPr>
            <w:r>
              <w:rPr>
                <w:rFonts w:ascii="Times New Roman" w:hAnsi="Times New Roman" w:eastAsia="微软雅黑"/>
                <w:b/>
                <w:color w:val="FFFFFF"/>
                <w:sz w:val="20"/>
              </w:rPr>
              <w:t>判断</w:t>
            </w:r>
          </w:p>
        </w:tc>
        <w:tc>
          <w:tcPr>
            <w:tcW w:w="7344" w:type="dxa"/>
            <w:shd w:val="clear" w:color="auto" w:fill="1F4E79"/>
          </w:tcPr>
          <w:p w14:paraId="1387548C">
            <w:pPr>
              <w:spacing w:after="40"/>
            </w:pPr>
            <w:r>
              <w:rPr>
                <w:rFonts w:ascii="Times New Roman" w:hAnsi="Times New Roman" w:eastAsia="微软雅黑"/>
                <w:b/>
                <w:color w:val="FFFFFF"/>
                <w:sz w:val="20"/>
              </w:rPr>
              <w:t>理由</w:t>
            </w:r>
          </w:p>
        </w:tc>
      </w:tr>
      <w:tr w14:paraId="0D37421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3839197E">
            <w:pPr>
              <w:spacing w:after="40" w:line="259" w:lineRule="auto"/>
            </w:pPr>
            <w:r>
              <w:rPr>
                <w:rFonts w:ascii="Times New Roman" w:hAnsi="Times New Roman" w:eastAsia="微软雅黑"/>
                <w:b w:val="0"/>
                <w:color w:val="000000"/>
                <w:sz w:val="19"/>
              </w:rPr>
              <w:t>B</w:t>
            </w:r>
          </w:p>
        </w:tc>
        <w:tc>
          <w:tcPr>
            <w:tcW w:w="1224" w:type="dxa"/>
          </w:tcPr>
          <w:p w14:paraId="401FF3CD">
            <w:pPr>
              <w:spacing w:after="40" w:line="259" w:lineRule="auto"/>
            </w:pPr>
            <w:r>
              <w:rPr>
                <w:rFonts w:ascii="Times New Roman" w:hAnsi="Times New Roman" w:eastAsia="微软雅黑"/>
                <w:b w:val="0"/>
                <w:color w:val="000000"/>
                <w:sz w:val="19"/>
              </w:rPr>
              <w:t>不能选</w:t>
            </w:r>
          </w:p>
        </w:tc>
        <w:tc>
          <w:tcPr>
            <w:tcW w:w="7344" w:type="dxa"/>
          </w:tcPr>
          <w:p w14:paraId="67B18A44">
            <w:pPr>
              <w:spacing w:after="40" w:line="259" w:lineRule="auto"/>
            </w:pPr>
            <w:r>
              <w:rPr>
                <w:rFonts w:ascii="Times New Roman" w:hAnsi="Times New Roman" w:eastAsia="微软雅黑"/>
                <w:b w:val="0"/>
                <w:color w:val="000000"/>
                <w:sz w:val="19"/>
              </w:rPr>
              <w:t>手术植入已在上一步完成，本段进入信号处理。</w:t>
            </w:r>
          </w:p>
        </w:tc>
      </w:tr>
      <w:tr w14:paraId="4DF790B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62A23611">
            <w:pPr>
              <w:spacing w:after="40" w:line="259" w:lineRule="auto"/>
            </w:pPr>
            <w:r>
              <w:rPr>
                <w:rFonts w:ascii="Times New Roman" w:hAnsi="Times New Roman" w:eastAsia="微软雅黑"/>
                <w:b w:val="0"/>
                <w:color w:val="000000"/>
                <w:sz w:val="19"/>
              </w:rPr>
              <w:t>E</w:t>
            </w:r>
          </w:p>
        </w:tc>
        <w:tc>
          <w:tcPr>
            <w:tcW w:w="1224" w:type="dxa"/>
            <w:shd w:val="clear" w:color="auto" w:fill="EAF2F8"/>
          </w:tcPr>
          <w:p w14:paraId="5EFB57CA">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43E7FE14">
            <w:pPr>
              <w:spacing w:after="40" w:line="259" w:lineRule="auto"/>
            </w:pPr>
            <w:r>
              <w:rPr>
                <w:rFonts w:ascii="Times New Roman" w:hAnsi="Times New Roman" w:eastAsia="微软雅黑"/>
                <w:b w:val="0"/>
                <w:color w:val="000000"/>
                <w:sz w:val="19"/>
              </w:rPr>
              <w:t>“full bodily movement”是曲解，本段只谈交流动作解码。</w:t>
            </w:r>
          </w:p>
        </w:tc>
      </w:tr>
      <w:tr w14:paraId="72F2CF3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4CAF19CC">
            <w:pPr>
              <w:spacing w:after="40" w:line="259" w:lineRule="auto"/>
            </w:pPr>
            <w:r>
              <w:rPr>
                <w:rFonts w:ascii="Times New Roman" w:hAnsi="Times New Roman" w:eastAsia="微软雅黑"/>
                <w:b w:val="0"/>
                <w:color w:val="000000"/>
                <w:sz w:val="19"/>
              </w:rPr>
              <w:t>F</w:t>
            </w:r>
          </w:p>
        </w:tc>
        <w:tc>
          <w:tcPr>
            <w:tcW w:w="1224" w:type="dxa"/>
          </w:tcPr>
          <w:p w14:paraId="085F43FE">
            <w:pPr>
              <w:spacing w:after="40" w:line="259" w:lineRule="auto"/>
            </w:pPr>
            <w:r>
              <w:rPr>
                <w:rFonts w:ascii="Times New Roman" w:hAnsi="Times New Roman" w:eastAsia="微软雅黑"/>
                <w:b w:val="0"/>
                <w:color w:val="000000"/>
                <w:sz w:val="19"/>
              </w:rPr>
              <w:t>正确</w:t>
            </w:r>
          </w:p>
        </w:tc>
        <w:tc>
          <w:tcPr>
            <w:tcW w:w="7344" w:type="dxa"/>
          </w:tcPr>
          <w:p w14:paraId="645157F4">
            <w:pPr>
              <w:spacing w:after="40" w:line="259" w:lineRule="auto"/>
            </w:pPr>
            <w:r>
              <w:rPr>
                <w:rFonts w:ascii="Times New Roman" w:hAnsi="Times New Roman" w:eastAsia="微软雅黑"/>
                <w:b w:val="0"/>
                <w:color w:val="000000"/>
                <w:sz w:val="19"/>
              </w:rPr>
              <w:t>两个模型分别处理言语和手势，并同时完成重建。</w:t>
            </w:r>
          </w:p>
        </w:tc>
      </w:tr>
      <w:tr w14:paraId="2DF698E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08BD6AC7">
            <w:pPr>
              <w:spacing w:after="40" w:line="259" w:lineRule="auto"/>
            </w:pPr>
            <w:r>
              <w:rPr>
                <w:rFonts w:ascii="Times New Roman" w:hAnsi="Times New Roman" w:eastAsia="微软雅黑"/>
                <w:b w:val="0"/>
                <w:color w:val="000000"/>
                <w:sz w:val="19"/>
              </w:rPr>
              <w:t>G</w:t>
            </w:r>
          </w:p>
        </w:tc>
        <w:tc>
          <w:tcPr>
            <w:tcW w:w="1224" w:type="dxa"/>
            <w:shd w:val="clear" w:color="auto" w:fill="EAF2F8"/>
          </w:tcPr>
          <w:p w14:paraId="55BBFFE5">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50FA4F3A">
            <w:pPr>
              <w:spacing w:after="40" w:line="259" w:lineRule="auto"/>
            </w:pPr>
            <w:r>
              <w:rPr>
                <w:rFonts w:ascii="Times New Roman" w:hAnsi="Times New Roman" w:eastAsia="微软雅黑"/>
                <w:b w:val="0"/>
                <w:color w:val="000000"/>
                <w:sz w:val="19"/>
              </w:rPr>
              <w:t>成果意义已在第42段概括，本段重点转向实现方式。</w:t>
            </w:r>
          </w:p>
        </w:tc>
      </w:tr>
    </w:tbl>
    <w:p w14:paraId="70737F15">
      <w:pPr>
        <w:spacing w:after="160" w:line="276" w:lineRule="auto"/>
      </w:pPr>
    </w:p>
    <w:p w14:paraId="7C7FC9A7">
      <w:pPr>
        <w:keepNext/>
        <w:spacing w:before="200" w:after="120"/>
      </w:pPr>
      <w:r>
        <w:rPr>
          <w:rFonts w:ascii="Times New Roman" w:hAnsi="Times New Roman" w:eastAsia="微软雅黑"/>
          <w:b/>
          <w:color w:val="000000"/>
          <w:sz w:val="23"/>
        </w:rPr>
        <w:t>45.【答案】A</w:t>
      </w:r>
    </w:p>
    <w:p w14:paraId="650297AD">
      <w:pPr>
        <w:spacing w:after="80"/>
      </w:pPr>
      <w:r>
        <w:rPr>
          <w:rFonts w:ascii="Times New Roman" w:hAnsi="Times New Roman" w:eastAsia="微软雅黑"/>
          <w:b/>
          <w:color w:val="000000"/>
          <w:sz w:val="21"/>
        </w:rPr>
        <w:t xml:space="preserve">【定位】 </w:t>
      </w:r>
      <w:r>
        <w:rPr>
          <w:rFonts w:ascii="Times New Roman" w:hAnsi="Times New Roman" w:eastAsia="微软雅黑"/>
          <w:b w:val="0"/>
          <w:color w:val="000000"/>
          <w:sz w:val="21"/>
        </w:rPr>
        <w:t>第45段，首句“There is further to go”与 robots、exoskeletons。</w:t>
      </w:r>
    </w:p>
    <w:p w14:paraId="52C12248">
      <w:pPr>
        <w:spacing w:after="80"/>
      </w:pPr>
      <w:r>
        <w:rPr>
          <w:rFonts w:ascii="Times New Roman" w:hAnsi="Times New Roman" w:eastAsia="微软雅黑"/>
          <w:b/>
          <w:color w:val="000000"/>
          <w:sz w:val="21"/>
        </w:rPr>
        <w:t xml:space="preserve">【解析】 </w:t>
      </w:r>
      <w:r>
        <w:rPr>
          <w:rFonts w:ascii="Times New Roman" w:hAnsi="Times New Roman" w:eastAsia="微软雅黑"/>
          <w:b w:val="0"/>
          <w:color w:val="000000"/>
          <w:sz w:val="21"/>
        </w:rPr>
        <w:t>本段先承认当前词汇和手势数量有限，随后写研究者计划扩展到一百多种动作，并希望监测全身意图，帮助患者操作机器人和外骨骼。【A】把“current limits”和“wider uses”连成完整逻辑。</w:t>
      </w:r>
    </w:p>
    <w:p w14:paraId="6791E63F">
      <w:pPr>
        <w:spacing w:after="80" w:line="276" w:lineRule="auto"/>
      </w:pPr>
      <w:r>
        <w:rPr>
          <w:rFonts w:ascii="Times New Roman" w:hAnsi="Times New Roman" w:eastAsia="微软雅黑"/>
          <w:b/>
          <w:color w:val="000000"/>
          <w:sz w:val="21"/>
        </w:rPr>
        <w:t>逐项分析</w:t>
      </w:r>
    </w:p>
    <w:tbl>
      <w:tblPr>
        <w:tblStyle w:val="3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936"/>
        <w:gridCol w:w="1224"/>
        <w:gridCol w:w="7344"/>
      </w:tblGrid>
      <w:tr w14:paraId="7F737E2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936" w:type="dxa"/>
            <w:shd w:val="clear" w:color="auto" w:fill="1F4E79"/>
          </w:tcPr>
          <w:p w14:paraId="5A3AC249">
            <w:pPr>
              <w:spacing w:after="40"/>
            </w:pPr>
            <w:r>
              <w:rPr>
                <w:rFonts w:ascii="Times New Roman" w:hAnsi="Times New Roman" w:eastAsia="微软雅黑"/>
                <w:b/>
                <w:color w:val="FFFFFF"/>
                <w:sz w:val="20"/>
              </w:rPr>
              <w:t>选项</w:t>
            </w:r>
          </w:p>
        </w:tc>
        <w:tc>
          <w:tcPr>
            <w:tcW w:w="1224" w:type="dxa"/>
            <w:shd w:val="clear" w:color="auto" w:fill="1F4E79"/>
          </w:tcPr>
          <w:p w14:paraId="34C992CE">
            <w:pPr>
              <w:spacing w:after="40"/>
            </w:pPr>
            <w:r>
              <w:rPr>
                <w:rFonts w:ascii="Times New Roman" w:hAnsi="Times New Roman" w:eastAsia="微软雅黑"/>
                <w:b/>
                <w:color w:val="FFFFFF"/>
                <w:sz w:val="20"/>
              </w:rPr>
              <w:t>判断</w:t>
            </w:r>
          </w:p>
        </w:tc>
        <w:tc>
          <w:tcPr>
            <w:tcW w:w="7344" w:type="dxa"/>
            <w:shd w:val="clear" w:color="auto" w:fill="1F4E79"/>
          </w:tcPr>
          <w:p w14:paraId="4E9C1090">
            <w:pPr>
              <w:spacing w:after="40"/>
            </w:pPr>
            <w:r>
              <w:rPr>
                <w:rFonts w:ascii="Times New Roman" w:hAnsi="Times New Roman" w:eastAsia="微软雅黑"/>
                <w:b/>
                <w:color w:val="FFFFFF"/>
                <w:sz w:val="20"/>
              </w:rPr>
              <w:t>理由</w:t>
            </w:r>
          </w:p>
        </w:tc>
      </w:tr>
      <w:tr w14:paraId="1B9F9A72">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1670FC37">
            <w:pPr>
              <w:spacing w:after="40" w:line="259" w:lineRule="auto"/>
            </w:pPr>
            <w:r>
              <w:rPr>
                <w:rFonts w:ascii="Times New Roman" w:hAnsi="Times New Roman" w:eastAsia="微软雅黑"/>
                <w:b w:val="0"/>
                <w:color w:val="000000"/>
                <w:sz w:val="19"/>
              </w:rPr>
              <w:t>A</w:t>
            </w:r>
          </w:p>
        </w:tc>
        <w:tc>
          <w:tcPr>
            <w:tcW w:w="1224" w:type="dxa"/>
          </w:tcPr>
          <w:p w14:paraId="349E9BEC">
            <w:pPr>
              <w:spacing w:after="40" w:line="259" w:lineRule="auto"/>
            </w:pPr>
            <w:r>
              <w:rPr>
                <w:rFonts w:ascii="Times New Roman" w:hAnsi="Times New Roman" w:eastAsia="微软雅黑"/>
                <w:b w:val="0"/>
                <w:color w:val="000000"/>
                <w:sz w:val="19"/>
              </w:rPr>
              <w:t>正确</w:t>
            </w:r>
          </w:p>
        </w:tc>
        <w:tc>
          <w:tcPr>
            <w:tcW w:w="7344" w:type="dxa"/>
          </w:tcPr>
          <w:p w14:paraId="7302A2DE">
            <w:pPr>
              <w:spacing w:after="40" w:line="259" w:lineRule="auto"/>
            </w:pPr>
            <w:r>
              <w:rPr>
                <w:rFonts w:ascii="Times New Roman" w:hAnsi="Times New Roman" w:eastAsia="微软雅黑"/>
                <w:b w:val="0"/>
                <w:color w:val="000000"/>
                <w:sz w:val="19"/>
              </w:rPr>
              <w:t>从现有限制推进到更多交流动作和身体设备控制。</w:t>
            </w:r>
          </w:p>
        </w:tc>
      </w:tr>
      <w:tr w14:paraId="70D24FA0">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6BAFDC0D">
            <w:pPr>
              <w:spacing w:after="40" w:line="259" w:lineRule="auto"/>
            </w:pPr>
            <w:r>
              <w:rPr>
                <w:rFonts w:ascii="Times New Roman" w:hAnsi="Times New Roman" w:eastAsia="微软雅黑"/>
                <w:b w:val="0"/>
                <w:color w:val="000000"/>
                <w:sz w:val="19"/>
              </w:rPr>
              <w:t>C</w:t>
            </w:r>
          </w:p>
        </w:tc>
        <w:tc>
          <w:tcPr>
            <w:tcW w:w="1224" w:type="dxa"/>
            <w:shd w:val="clear" w:color="auto" w:fill="EAF2F8"/>
          </w:tcPr>
          <w:p w14:paraId="7EA53B49">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3EBDB155">
            <w:pPr>
              <w:spacing w:after="40" w:line="259" w:lineRule="auto"/>
            </w:pPr>
            <w:r>
              <w:rPr>
                <w:rFonts w:ascii="Times New Roman" w:hAnsi="Times New Roman" w:eastAsia="微软雅黑"/>
                <w:b w:val="0"/>
                <w:color w:val="000000"/>
                <w:sz w:val="19"/>
              </w:rPr>
              <w:t>原文没有说该方法会替代 ordinary speech therapy。</w:t>
            </w:r>
          </w:p>
        </w:tc>
      </w:tr>
      <w:tr w14:paraId="761823C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tcPr>
          <w:p w14:paraId="009BCC68">
            <w:pPr>
              <w:spacing w:after="40" w:line="259" w:lineRule="auto"/>
            </w:pPr>
            <w:r>
              <w:rPr>
                <w:rFonts w:ascii="Times New Roman" w:hAnsi="Times New Roman" w:eastAsia="微软雅黑"/>
                <w:b w:val="0"/>
                <w:color w:val="000000"/>
                <w:sz w:val="19"/>
              </w:rPr>
              <w:t>E</w:t>
            </w:r>
          </w:p>
        </w:tc>
        <w:tc>
          <w:tcPr>
            <w:tcW w:w="1224" w:type="dxa"/>
          </w:tcPr>
          <w:p w14:paraId="5B83E914">
            <w:pPr>
              <w:spacing w:after="40" w:line="259" w:lineRule="auto"/>
            </w:pPr>
            <w:r>
              <w:rPr>
                <w:rFonts w:ascii="Times New Roman" w:hAnsi="Times New Roman" w:eastAsia="微软雅黑"/>
                <w:b w:val="0"/>
                <w:color w:val="000000"/>
                <w:sz w:val="19"/>
              </w:rPr>
              <w:t>不能选</w:t>
            </w:r>
          </w:p>
        </w:tc>
        <w:tc>
          <w:tcPr>
            <w:tcW w:w="7344" w:type="dxa"/>
          </w:tcPr>
          <w:p w14:paraId="5D41A4AC">
            <w:pPr>
              <w:spacing w:after="40" w:line="259" w:lineRule="auto"/>
            </w:pPr>
            <w:r>
              <w:rPr>
                <w:rFonts w:ascii="Times New Roman" w:hAnsi="Times New Roman" w:eastAsia="微软雅黑"/>
                <w:b w:val="0"/>
                <w:color w:val="000000"/>
                <w:sz w:val="19"/>
              </w:rPr>
              <w:t>这是对可能用途的展望，不是患者很快恢复行动的事实。</w:t>
            </w:r>
          </w:p>
        </w:tc>
      </w:tr>
      <w:tr w14:paraId="43C2EDD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936" w:type="dxa"/>
            <w:shd w:val="clear" w:color="auto" w:fill="EAF2F8"/>
          </w:tcPr>
          <w:p w14:paraId="0DB92F8D">
            <w:pPr>
              <w:spacing w:after="40" w:line="259" w:lineRule="auto"/>
            </w:pPr>
            <w:r>
              <w:rPr>
                <w:rFonts w:ascii="Times New Roman" w:hAnsi="Times New Roman" w:eastAsia="微软雅黑"/>
                <w:b w:val="0"/>
                <w:color w:val="000000"/>
                <w:sz w:val="19"/>
              </w:rPr>
              <w:t>G</w:t>
            </w:r>
          </w:p>
        </w:tc>
        <w:tc>
          <w:tcPr>
            <w:tcW w:w="1224" w:type="dxa"/>
            <w:shd w:val="clear" w:color="auto" w:fill="EAF2F8"/>
          </w:tcPr>
          <w:p w14:paraId="26CFF76F">
            <w:pPr>
              <w:spacing w:after="40" w:line="259" w:lineRule="auto"/>
            </w:pPr>
            <w:r>
              <w:rPr>
                <w:rFonts w:ascii="Times New Roman" w:hAnsi="Times New Roman" w:eastAsia="微软雅黑"/>
                <w:b w:val="0"/>
                <w:color w:val="000000"/>
                <w:sz w:val="19"/>
              </w:rPr>
              <w:t>不能选</w:t>
            </w:r>
          </w:p>
        </w:tc>
        <w:tc>
          <w:tcPr>
            <w:tcW w:w="7344" w:type="dxa"/>
            <w:shd w:val="clear" w:color="auto" w:fill="EAF2F8"/>
          </w:tcPr>
          <w:p w14:paraId="4E1BFE23">
            <w:pPr>
              <w:spacing w:after="40" w:line="259" w:lineRule="auto"/>
            </w:pPr>
            <w:r>
              <w:rPr>
                <w:rFonts w:ascii="Times New Roman" w:hAnsi="Times New Roman" w:eastAsia="微软雅黑"/>
                <w:b w:val="0"/>
                <w:color w:val="000000"/>
                <w:sz w:val="19"/>
              </w:rPr>
              <w:t>新的交流成果已经不是本段中心，本段重心转向未来空间。</w:t>
            </w:r>
          </w:p>
        </w:tc>
      </w:tr>
    </w:tbl>
    <w:p w14:paraId="71400ED0">
      <w:pPr>
        <w:spacing w:after="160" w:line="276" w:lineRule="auto"/>
      </w:pPr>
    </w:p>
    <w:p w14:paraId="090A84E4">
      <w:pPr>
        <w:keepNext/>
        <w:spacing w:before="200" w:after="120"/>
      </w:pPr>
      <w:r>
        <w:rPr>
          <w:rFonts w:ascii="Times New Roman" w:hAnsi="Times New Roman" w:eastAsia="微软雅黑"/>
          <w:b/>
          <w:color w:val="000000"/>
          <w:sz w:val="24"/>
        </w:rPr>
        <w:t>干扰项设置</w:t>
      </w:r>
    </w:p>
    <w:p w14:paraId="39F7B35B">
      <w:pPr>
        <w:spacing w:after="160" w:line="276" w:lineRule="auto"/>
        <w:rPr>
          <w:rFonts w:ascii="Times New Roman" w:hAnsi="Times New Roman" w:eastAsia="微软雅黑"/>
          <w:b w:val="0"/>
          <w:color w:val="000000"/>
          <w:sz w:val="21"/>
        </w:rPr>
      </w:pPr>
      <w:r>
        <w:rPr>
          <w:rFonts w:ascii="Times New Roman" w:hAnsi="Times New Roman" w:eastAsia="微软雅黑"/>
          <w:b w:val="0"/>
          <w:color w:val="000000"/>
          <w:sz w:val="21"/>
        </w:rPr>
        <w:t>【C】利用“帮助交流”扩大成“替代言语治疗”，但原文没有治疗比较；【E】借第45段的 exoskeletons 设置前景干扰，却把“可能操作设备”改成“很快恢复全身运动”。考生需要区分辅助表达、操作设备和恢复行动之间的差异。</w:t>
      </w:r>
    </w:p>
    <w:p w14:paraId="39778935">
      <w:pPr>
        <w:spacing w:after="160" w:line="276" w:lineRule="auto"/>
        <w:rPr>
          <w:rFonts w:ascii="Times New Roman" w:hAnsi="Times New Roman" w:eastAsia="微软雅黑"/>
          <w:b w:val="0"/>
          <w:color w:val="000000"/>
          <w:sz w:val="21"/>
        </w:rPr>
      </w:pPr>
    </w:p>
    <w:p w14:paraId="73A56118">
      <w:pPr>
        <w:jc w:val="center"/>
        <w:rPr>
          <w:color w:val="969696"/>
        </w:rPr>
      </w:pPr>
      <w:r>
        <w:rPr>
          <w:color w:val="969696"/>
        </w:rPr>
        <w:t>— — — — — — — — — —</w:t>
      </w:r>
    </w:p>
    <w:p w14:paraId="7AD80686">
      <w:pPr>
        <w:jc w:val="both"/>
        <w:rPr>
          <w:color w:val="969696"/>
        </w:rPr>
      </w:pPr>
    </w:p>
    <w:p w14:paraId="1E9BE640">
      <w:pPr>
        <w:rPr>
          <w:rFonts w:hint="default"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本文档由我们自研的考研英语新题型大模型生成。该模型基于近10年考研英语真题进行训练。我们会根据同学们的反馈持续优化模型能力。目前是在测试阶段，该题型仅提供到12月底。</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76447049">
      <w:pPr>
        <w:spacing w:after="160" w:line="276" w:lineRule="auto"/>
        <w:rPr>
          <w:rFonts w:ascii="Times New Roman" w:hAnsi="Times New Roman" w:eastAsia="微软雅黑"/>
          <w:b w:val="0"/>
          <w:color w:val="000000"/>
          <w:sz w:val="21"/>
        </w:rPr>
      </w:pPr>
      <w:bookmarkStart w:id="0" w:name="_GoBack"/>
      <w:bookmarkEnd w:id="0"/>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2F0E1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2115</Words>
  <Characters>4567</Characters>
  <Lines>0</Lines>
  <Paragraphs>0</Paragraphs>
  <TotalTime>0</TotalTime>
  <ScaleCrop>false</ScaleCrop>
  <LinksUpToDate>false</LinksUpToDate>
  <CharactersWithSpaces>5129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2026-09-22T02:42:52Z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2052-12.1.0.28505</vt:lpwstr>
  </property>
  <property fmtid="{D5CDD505-2E9C-101B-9397-08002B2CF9AE}" pid="4" name="ICV">
    <vt:lpwstr>A0B7E0751CDD4E2A85FF2A6E261E4D59_12</vt:lpwstr>
  </property>
</Properties>
</file>