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both"/>
        <w:rPr>
          <w:rFonts w:ascii="Times New Roman" w:hAnsi="Times New Roman" w:eastAsia="MS Mincho" w:cs="Times New Roman"/>
          <w:b/>
          <w:bCs/>
          <w:color w:val="333333"/>
          <w:spacing w:val="8"/>
          <w:sz w:val="28"/>
          <w:szCs w:val="28"/>
          <w:lang w:val="en-GB"/>
        </w:rPr>
      </w:pPr>
      <w:r>
        <w:rPr>
          <w:rFonts w:hint="default" w:ascii="Times New Roman" w:hAnsi="Times New Roman" w:eastAsia="宋体" w:cs="Times New Roman"/>
          <w:b/>
          <w:bCs/>
          <w:color w:val="333333"/>
          <w:spacing w:val="8"/>
          <w:sz w:val="28"/>
          <w:szCs w:val="28"/>
          <w:lang w:val="en-US" w:eastAsia="zh-CN"/>
        </w:rPr>
        <w:t>（</w:t>
      </w:r>
      <w:bookmarkStart w:id="0" w:name="OLE_LINK2"/>
      <w:r>
        <w:rPr>
          <w:rFonts w:hint="default" w:ascii="Times New Roman" w:hAnsi="Times New Roman" w:eastAsia="宋体" w:cs="Times New Roman"/>
          <w:b/>
          <w:bCs/>
          <w:color w:val="333333"/>
          <w:spacing w:val="8"/>
          <w:sz w:val="28"/>
          <w:szCs w:val="28"/>
          <w:lang w:val="en-US" w:eastAsia="zh-CN"/>
        </w:rPr>
        <w:t>9.21</w:t>
      </w:r>
      <w:r>
        <w:rPr>
          <w:rFonts w:ascii="Times New Roman" w:hAnsi="Times New Roman" w:eastAsia="宋体" w:cs="Times New Roman"/>
          <w:b/>
          <w:bCs/>
          <w:color w:val="333333"/>
          <w:spacing w:val="8"/>
          <w:sz w:val="28"/>
          <w:szCs w:val="28"/>
          <w:lang w:val="en-US" w:eastAsia="zh-CN"/>
        </w:rPr>
        <w:t>—</w:t>
      </w:r>
      <w:bookmarkEnd w:id="0"/>
      <w:r>
        <w:rPr>
          <w:rFonts w:hint="default" w:ascii="Times New Roman" w:hAnsi="Times New Roman" w:eastAsia="宋体" w:cs="Times New Roman"/>
          <w:b/>
          <w:bCs/>
          <w:color w:val="333333"/>
          <w:spacing w:val="8"/>
          <w:sz w:val="28"/>
          <w:szCs w:val="28"/>
          <w:lang w:val="en-US" w:eastAsia="zh-CN"/>
        </w:rPr>
        <w:t>9.23）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default" w:ascii="Times New Roman" w:hAnsi="Times New Roman" w:eastAsia="宋体" w:cs="Times New Roman"/>
          <w:b/>
          <w:bCs/>
          <w:color w:val="333333"/>
          <w:spacing w:val="8"/>
          <w:sz w:val="28"/>
          <w:szCs w:val="28"/>
          <w:lang w:val="en-US" w:eastAsia="zh-CN"/>
        </w:rPr>
        <w:t>9.21</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hint="default" w:ascii="Times New Roman" w:hAnsi="Times New Roman" w:eastAsia="MS Mincho" w:cs="Times New Roman"/>
          <w:b/>
          <w:bCs/>
          <w:color w:val="333333"/>
          <w:spacing w:val="8"/>
          <w:sz w:val="28"/>
          <w:szCs w:val="28"/>
          <w:lang w:val="en-US"/>
        </w:rPr>
        <w:t>French communities fight to keep their bistros alive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It is just past noon on a midweek day, and already every table at Au Bon Accueil cafe-bistro in the northern Burgundy village of Saint-Martin-sur-Ouanne is taken.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three-course lunch menu – including a choice of a hefty chunk of steak with chips or a meaty lasagne – is just €18 (£15.50), but villagers are not only here for the food. After an eight-month closure, the bistro, previously called Café de la Gare, has recently reopened – and locals want it to stay that way.“It’s so important to have a cafe-bistro in a village like this. We couldn’t let it stay closed,” said Nadia Letellier, the new manager. “And we’re doing well, as you can see. People seem really happy it’s open again.”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3</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Hervé Chapuis, a farmer and the village mayor, is part of the local council team that saved Saint-Martin’s last public-facing business since the boulangerie across the road closed eight years ago.“People come here every morning to have a coffee and a chat,” he said. “Our aim is to keep this kind of business open to support the social fabric. It’s part of village life and people missed it. Now, village life has returned to its proper rhythm.”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4</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France’s celebrated cafe-bistros are in trouble. In 1900, there were an estimated 500,000; by the 1960s more than half had closed. Today, only about 30,000-40,000 remain and even they are reportedly shutting at a rate of two a day.</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Alain Fontaine, who runs Le Mesturet bistro near Paris’s stock exchange, and who is president of the Bistros and Cafes of France association, said the closures have left rural communities deserted and villagers, especially elderly people, isolated.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0" w:firstLineChars="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5</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reasons for the closures of what the 19th-century writer and statesman Léon Gambetta called “salons de la démocratie” (people’s parliaments) are economic and sociological. The number of people living in rural areas has declined over the past half a century, while televisions and other devices have encouraged more people to spend their evenings at home, and the average French person drinks about 80 litres of alcohol a year compared with 200 litres in the 1960s.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6</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Finding people who are willing to run bars, cafes or bistros is also a problem, according to Fontaine, who is campaigning for the government to submit the establishments to Unesco for intangible cultural heritage listing, arguing this recognition would encourage more people to consider taking them 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7</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“Without a cafe or bistro, communities are in effect deprived of any social life. We cannot resign ourselves to this trend,” he said. “In bistros and cafes, people don’t just eat and drink, they catch up with each other, meet new people, debate, laugh, read, write and sometimes fall in love.</w:t>
      </w:r>
      <w:r>
        <w:rPr>
          <w:rFonts w:ascii="Times New Roman" w:hAnsi="Times New Roman" w:cs="Times New Roman"/>
          <w:sz w:val="28"/>
          <w:szCs w:val="28"/>
          <w:lang w:val="en-US"/>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8</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0" w:firstLineChars="0"/>
        <w:jc w:val="both"/>
        <w:rPr>
          <w:rFonts w:ascii="Times New Roman" w:hAnsi="Times New Roman" w:cs="Times New Roman"/>
          <w:sz w:val="28"/>
          <w:szCs w:val="28"/>
          <w:lang w:val="en-US"/>
        </w:rPr>
      </w:pPr>
      <w:r>
        <w:rPr>
          <w:rFonts w:hint="default" w:ascii="Times New Roman" w:hAnsi="Times New Roman" w:cs="Times New Roman"/>
          <w:sz w:val="28"/>
          <w:szCs w:val="28"/>
          <w:lang w:val="en-US"/>
        </w:rPr>
        <w:t>Solène Joucla, whose family have run the historic Le Grand Café at Camplong, near Montpellier, since 1898, faced a choice between having to let it close or giving up her job as an English teacher when her father, Pierre, retired. Instead, she and her sister, Katell, set up an association to run it.“Our aim is to encourage people to go out so they are not isolated, and so we know how they are. People come here for a chat, to have a laugh, listen to music … we are the cultural centre of the village.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9</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A report submitted to the French senate in 2023 suggested the government should ease regulations on small rural cafe-bistros, hotels and restaurants. It pointed out the negative impact of the widespread closure of such places on rural communities, concluding their presence contributed to “economic vitality and social cohesion”.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0</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National Federation of Country Bistros said “rural bistros are unique as places for socialising, building community ties, exploring new experiences and fostering local cultural life. Often, these bistros are the only local service providers still operating in villages.” It added: “Supporting the village bistro means helping to keep it alive, so the heart of our countryside continues to beat.”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1</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In France, the 1,000 Cafés initiative was launched in 2019 to combat the “social fracture” highlighted by the gilets jaunes protest movement by helping communes of fewer than 3,500 people save their cafes or open new ones. It found more than 60% of people in rural villages had no businesses locally, and this left many feeling abandoned.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12</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Camille Sebaux, the director of 1,000 Cafés, told France Info radio the association had worked in more than 300 communities, often helping cafes to diversify by stocking food essentials or becoming drop-off points for online shopping deliveries.“Cafes have been closing in villages for the last 50 years, and we don’t have any magic wand or miracle answer,” Sebaux said. “Plus, running a village cafe is not an easy job. Our aim is to help small communities find solutions.”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hint="default" w:ascii="Times New Roman" w:hAnsi="Times New Roman" w:eastAsia="宋体" w:cs="Times New Roman"/>
          <w:b/>
          <w:bCs/>
          <w:sz w:val="28"/>
          <w:szCs w:val="28"/>
          <w:lang w:val="en-US" w:eastAsia="zh-CN"/>
        </w:rPr>
        <w:t>14</w:t>
      </w:r>
      <w:r>
        <w:rPr>
          <w:rFonts w:ascii="Times New Roman" w:hAnsi="Times New Roman" w:eastAsia="宋体" w:cs="Times New Roman"/>
          <w:b/>
          <w:bCs/>
          <w:sz w:val="28"/>
          <w:szCs w:val="28"/>
          <w:lang w:val="en-US" w:eastAsia="zh-CN"/>
        </w:rPr>
        <w:t xml:space="preserve"> September</w:t>
      </w:r>
      <w:r>
        <w:rPr>
          <w:rFonts w:hint="default"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default"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ascii="Times New Roman" w:hAnsi="Times New Roman" w:eastAsia="宋体" w:cs="Times New Roman"/>
          <w:color w:val="333333"/>
          <w:spacing w:val="8"/>
          <w:sz w:val="28"/>
          <w:szCs w:val="28"/>
          <w:lang w:val="en-US" w:eastAsia="zh-CN"/>
        </w:rPr>
        <w:t xml:space="preserve">888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both"/>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both"/>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outlineLvl w:val="0"/>
        <w:rPr>
          <w:rFonts w:ascii="Times New Roman" w:hAnsi="Times New Roman" w:cs="Times New Roman" w:eastAsiaTheme="minorEastAsia"/>
          <w:b/>
          <w:bCs/>
          <w:color w:val="333333"/>
          <w:spacing w:val="8"/>
          <w:sz w:val="28"/>
          <w:szCs w:val="28"/>
          <w:lang w:val="en-US" w:eastAsia="zh-CN"/>
        </w:rPr>
      </w:pPr>
      <w:r>
        <w:rPr>
          <w:rFonts w:ascii="Times New Roman" w:hAnsi="Times New Roman" w:eastAsia="MS Mincho" w:cs="Times New Roman"/>
          <w:b/>
          <w:bCs/>
          <w:color w:val="333333"/>
          <w:spacing w:val="8"/>
          <w:sz w:val="28"/>
          <w:szCs w:val="28"/>
        </w:rPr>
        <w:t>【</w:t>
      </w:r>
      <w:r>
        <w:rPr>
          <w:rFonts w:hint="default" w:ascii="Times New Roman" w:hAnsi="Times New Roman" w:eastAsia="宋体" w:cs="Times New Roman"/>
          <w:b/>
          <w:bCs/>
          <w:color w:val="333333"/>
          <w:spacing w:val="8"/>
          <w:sz w:val="28"/>
          <w:szCs w:val="28"/>
          <w:lang w:val="en-US" w:eastAsia="zh-CN"/>
        </w:rPr>
        <w:t>9.22</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1" w:name="OLE_LINK1"/>
      <w:r>
        <w:rPr>
          <w:rFonts w:ascii="Times New Roman" w:hAnsi="Times New Roman" w:eastAsia="宋体" w:cs="Times New Roman"/>
          <w:b/>
          <w:bCs/>
          <w:color w:val="333333"/>
          <w:spacing w:val="8"/>
          <w:sz w:val="28"/>
          <w:szCs w:val="28"/>
          <w:lang w:val="en-US" w:eastAsia="zh-CN"/>
        </w:rPr>
        <w:t>The Guardian</w:t>
      </w:r>
      <w:bookmarkEnd w:id="1"/>
      <w:r>
        <w:rPr>
          <w:rFonts w:ascii="Times New Roman" w:hAnsi="Times New Roman" w:eastAsia="MS Mincho" w:cs="Times New Roman"/>
          <w:b/>
          <w:bCs/>
          <w:color w:val="333333"/>
          <w:spacing w:val="8"/>
          <w:sz w:val="28"/>
          <w:szCs w:val="28"/>
        </w:rPr>
        <w:t>】</w:t>
      </w:r>
      <w:r>
        <w:rPr>
          <w:rFonts w:hint="default" w:ascii="Times New Roman" w:hAnsi="Times New Roman" w:eastAsia="MS Mincho" w:cs="Times New Roman"/>
          <w:b/>
          <w:bCs/>
          <w:color w:val="333333"/>
          <w:spacing w:val="8"/>
          <w:sz w:val="28"/>
          <w:szCs w:val="28"/>
          <w:lang w:val="en-US"/>
        </w:rPr>
        <w:t>Women</w:t>
      </w:r>
      <w:r>
        <w:rPr>
          <w:rFonts w:hint="default" w:ascii="Times New Roman" w:hAnsi="Times New Roman" w:cs="Times New Roman" w:eastAsiaTheme="minorEastAsia"/>
          <w:b/>
          <w:bCs/>
          <w:color w:val="333333"/>
          <w:spacing w:val="8"/>
          <w:sz w:val="28"/>
          <w:szCs w:val="28"/>
          <w:lang w:val="en-US" w:eastAsia="zh-CN"/>
        </w:rPr>
        <w:t xml:space="preserve"> </w:t>
      </w:r>
      <w:r>
        <w:rPr>
          <w:rFonts w:hint="default" w:ascii="Times New Roman" w:hAnsi="Times New Roman" w:eastAsia="MS Mincho" w:cs="Times New Roman"/>
          <w:b/>
          <w:bCs/>
          <w:color w:val="333333"/>
          <w:spacing w:val="8"/>
          <w:sz w:val="28"/>
          <w:szCs w:val="28"/>
          <w:lang w:val="en-US"/>
        </w:rPr>
        <w:t>also helped to fund the</w:t>
      </w:r>
      <w:r>
        <w:rPr>
          <w:rFonts w:hint="default" w:ascii="Times New Roman" w:hAnsi="Times New Roman" w:cs="Times New Roman" w:eastAsiaTheme="minorEastAsia"/>
          <w:b/>
          <w:bCs/>
          <w:color w:val="333333"/>
          <w:spacing w:val="8"/>
          <w:sz w:val="28"/>
          <w:szCs w:val="28"/>
          <w:lang w:val="en-US" w:eastAsia="zh-CN"/>
        </w:rPr>
        <w:t xml:space="preserve"> </w:t>
      </w:r>
      <w:r>
        <w:rPr>
          <w:rFonts w:hint="default" w:ascii="Times New Roman" w:hAnsi="Times New Roman" w:eastAsia="MS Mincho" w:cs="Times New Roman"/>
          <w:b/>
          <w:bCs/>
          <w:color w:val="333333"/>
          <w:spacing w:val="8"/>
          <w:sz w:val="28"/>
          <w:szCs w:val="28"/>
          <w:lang w:val="en-US"/>
        </w:rPr>
        <w:t>slave trade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More than 1,000 women invested in the slave trade, challenging the conventional notion that they were passive beneficiaries and largely fought for its abolition.</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Researchers found women bought, sold and brokered shares in the Royal African Company (RAC), South Sea Company, and other separate ventures, and used profits from the trafficking of enslaved Africans to secure financial independence and provide for their families.</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By the time the RAC, which trafficked about 150,000 enslaved people, was dissolved in 1752, women made up about 10% of shareholders.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2</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Register of British Slave Traders, revealed exclusively in the Guardian, shows women from across society played an active role in financing and sustaining the transatlantic trafficking of enslaved Africans.</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Investors ranged from queens and princesses to titled nobility, merchants, shopkeepers and cowherds.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3</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archives include letters in which women discuss profits from “African stock”, while company records show one investor, Helen Gladman, asking the RAC to transport a young African girl from Sherbrooke Island in Sierra Leone to England to serve in her household.</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Researchers found women were involved “at almost every level” of the company’s activities. They acted as brokers, supplied goods traded on Africa’s Atlantic coast, managed company property and used their familial and social networks to strengthen the company’s finances and political influence.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4</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Lila O’Leary Chambers, a lecturer at the University of Cambridge who researched women’s involvement for the register project, said: “This research really shows that this was not just a flash in the pan.</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“Across the entirety of the Royal African Company and its various guises, there were women contributing financially and expecting a financial return from the slave trade.”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5</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Women invested from the earliest years of enslavement, from Queen Elizabeth I’s backing in the 1560s to Lady Craven’s £1,000 loan financing a voyage to the Gambia through the Guinea Company. Some investors, unable to write their names, signed company records with a spidery “X”.</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6</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research identifies 1,100 female investors across the histories of the RAC, the South Sea Company, and other separate ventures, though the true number is likely to have been higher. Of the 457 women whose marital status could be identified, almost half were widows and just over 42% were unmarried. Of the 7% who were married, most were aristocrats.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7</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For many, the investments were crucial to gaining economic independence. Some became active traders and traded shares for friends and family, Chambers said. “It was not a career as they would see it, but we might think: this has become your job.”</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8</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Chambers said the research directly challenged the conventional narrative that “white women come in at the point of abolition, see the suffering of enslaved people, identify with that oppression, and then work either to reform or ultimately abolish the slave trade and slavery itself”.</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9</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Work to overturn that misconception builds on decades of scholarship by historians from the Caribbean and west Africa, including Eric Williams, Elsa Goveia and Walter Rodney. More recent public-facing projects, such as the Legacies of British Slavery archive compiled by historians at University College London, have helped bring this history to wider audiences. The archive revealed that women were among those connected to the ownership of enslaved people who received compensation after slavery was abolished in a large portion of the empire in 1833, she said. Enslaved people received nothing.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0" w:firstLineChars="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0</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For Chambers, the accumulation of more than 1,000 names was itself a “gut punch” because of the lack of similar information about enslaved African women.</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Olivette Otele, a distinguished professor of the legacies and memory of slavery at Soas University of London, said while the lack of comparable detail about enslaved African women remained startling, “the more we know about enslavers, the better chance we have to know about enslaved women from the archives, because sometimes through diaries you can find more details”.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1</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She added that archives alone could not tell the full history, and future research should look at other evidence to help recover the lives and agency of enslaved women. “These women were the transmitters and the holders of their cultures wherever they were taken from,” she said. “Through food, music, and dancing, it’s about resistance and agency, and they transmitted that.”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2</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research also found that because female investors seemingly did not vote or hold board positions, they often relied on informal efforts to influence and shape a company.</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Meeting minutes show women acting as witnesses, running the meeting house, delivering the goods exchanged for African lives, petitioning for wages, passing information and, most importantly, lending money and buying and selling shares.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13</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Under English law, women who were single or widowed were in control of their own property and could operate as legal persons while married women could not.“That becomes really important for the Royal African Company as it stutters between financial crises,” Chambers said. “Women provided this important well of capital.”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14</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In the early 18th century, the RAC secretary, John Perry, wrote to female investors urging them to exchange company debts for shares and persuade friends and relatives to do the same. Chambers said: “That is a financial project, but it is also a political one, because he knows that they might not hold official positions, but women were very influential with their family members and with the way companies were perceived.”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default" w:ascii="Times New Roman" w:hAnsi="Times New Roman" w:eastAsia="宋体" w:cs="Times New Roman"/>
          <w:b/>
          <w:bCs/>
          <w:sz w:val="28"/>
          <w:szCs w:val="28"/>
          <w:lang w:val="en-US" w:eastAsia="zh-CN"/>
        </w:rPr>
        <w:t>15</w:t>
      </w:r>
      <w:r>
        <w:rPr>
          <w:rFonts w:ascii="Times New Roman" w:hAnsi="Times New Roman" w:eastAsia="宋体" w:cs="Times New Roman"/>
          <w:b/>
          <w:bCs/>
          <w:sz w:val="28"/>
          <w:szCs w:val="28"/>
          <w:lang w:val="en-US" w:eastAsia="zh-CN"/>
        </w:rPr>
        <w:t xml:space="preserve"> September</w:t>
      </w:r>
      <w:r>
        <w:rPr>
          <w:rFonts w:hint="default"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default"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ascii="Times New Roman" w:hAnsi="Times New Roman" w:eastAsia="宋体" w:cs="Times New Roman"/>
          <w:color w:val="333333"/>
          <w:spacing w:val="8"/>
          <w:sz w:val="28"/>
          <w:szCs w:val="28"/>
          <w:lang w:val="en-US" w:eastAsia="zh-CN"/>
        </w:rPr>
        <w:t xml:space="preserve">967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both"/>
        <w:rPr>
          <w:rFonts w:ascii="Times New Roman" w:hAnsi="Times New Roman" w:cs="Times New Roman" w:eastAsiaTheme="minorEastAsia"/>
          <w:b/>
          <w:bCs/>
          <w:sz w:val="28"/>
          <w:szCs w:val="28"/>
          <w:lang w:val="en-US" w:eastAsia="zh-CN"/>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widowControl/>
        <w:jc w:val="both"/>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default" w:ascii="Times New Roman" w:hAnsi="Times New Roman" w:eastAsia="宋体" w:cs="Times New Roman"/>
          <w:b/>
          <w:bCs/>
          <w:color w:val="333333"/>
          <w:spacing w:val="8"/>
          <w:sz w:val="28"/>
          <w:szCs w:val="28"/>
          <w:lang w:val="en-US" w:eastAsia="zh-CN"/>
        </w:rPr>
        <w:t>9.23</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BARRON’S</w:t>
      </w:r>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AI</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Doomers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Can’t</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Stop</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Dooming.</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It’s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Time</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to</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Listen.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It’s the kind of statement that could come from an artificial-intelligence researcher in 2026. “Man devoured by his machines, body, mind and soul, and his civilization poisoned to its approaching death by their influences and their products.”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In fact, the quote is more than a century old, from a glowing 1921 New York Times Book Review of Social Decay and Regeneration by R. Austin Freeman. The book argued that industrial automation would be the end of the world as we know it. The review was headlined “Man Devoured by His Machines.” In case that was too subtle, an accompanying illustration displayed a butcher feeding a man into a sausage grinder.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Tech doomsaying has taken over the AI conversation, but it’s hardly something new. It has been the stuff of science fiction since Mary Shelley’s Frankenstein in 1818, even predating the Industrial Revolution. More relevant to the 2026 discussion is the 1991 film Terminator 2: Judgment Day. In the movie, a scientist has to face the reality that his bleeding-edge work will one day lead to the enslavement of humans by a self-aware AI named Skynet.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AI leaders and scientists have been dedicated to avoiding the Skynet scenario for years. In a 2015 email that marked the inception of OpenAI, now-CEO Sam Altman wrote to Elon Musk, “Been thinking a lot about whether it’s possible to stop humanity from developing AI. I think the answer is almost definitely not. If it’s going to happen anyway, it seems like it would be good for someone other than Google to do it first.” At the time, Google was the top commercial force in AI, hiring many of the leading academic scientists.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That same year, Altman wrote a two-part essay on the subject. “Development of superhuman machine intelligence (SMI) is probably the greatest threat to the continued existence of humanity,” he said. That year, he founded OpenAI as a nonprofit organization with Musk.</w:t>
      </w:r>
      <w:r>
        <w:rPr>
          <w:rFonts w:ascii="Times New Roman" w:hAnsi="Times New Roman" w:cs="Times New Roman"/>
          <w:sz w:val="28"/>
          <w:szCs w:val="28"/>
          <w:lang w:val="en-US"/>
        </w:rPr>
        <w:t xml:space="preserve"> </w:t>
      </w:r>
      <w:r>
        <w:rPr>
          <w:rFonts w:hint="default" w:ascii="Times New Roman" w:hAnsi="Times New Roman" w:cs="Times New Roman"/>
          <w:sz w:val="28"/>
          <w:szCs w:val="28"/>
          <w:lang w:val="en-US"/>
        </w:rPr>
        <w:t>Implicit in the birth of OpenAI was the idea that AI could lead to very bad outcomes, including the extinction of the human race, and that unregulated commercial pressures would hasten those disasters.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6</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worries hit a new gear this past week, spurred by the resignation of an Anthropic researcher followed by a shocking warning from an Anthropic scientist named Evan Hubinger: “We really do earnestly believe AI could kill all humans! I personally think it is &amp;gt;10% within the next decade.”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7</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 comment hit a nerve even though Anthropic’s own CEO, Dario Amodei, has spent months issuing warnings about the latest AI models. In fact, Altman and Amodei have never hid their worries about AI. Even as they amassed billions in funding—and expenditures—both CEOs have begged for international cooperation in regulating AI.“The U.S. government, and all other governments, should regulate the development of SMI,” Altman wrote in his 2015 essay.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8</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As the doomsday scenarios mount, no one knows what happens next. Our only guide is history, in which doomer predictions have always turned out to be as wrong as Freeman’s in 1921. The first example of factory automation, the loom, was predicted to destroy textile work. The opposite happened. In my own living memory, spreadsheet software was supposed to kill the accounting profession. Today, the U.S. has 70% more accounting firm employees than it had in 1990, and they now make up a larger portion of the workforce than they did 35 years ago.</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w:t>
      </w:r>
      <w:r>
        <w:rPr>
          <w:rFonts w:ascii="Times New Roman" w:hAnsi="Times New Roman" w:cs="Times New Roman"/>
          <w:sz w:val="28"/>
          <w:szCs w:val="28"/>
          <w:lang w:val="en-US"/>
        </w:rPr>
        <w:t>9</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You should always be suspicious of arguments that rely on “this time it’s different,” but this time may be different. OpenAI and Anthropic are racing each other on technology, while facing the profit pressures of looming public listings. This year, both firms have released new AI models that represent a clear jump from prior versions.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0</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These models are very good at both cybercrime and cyberdefense and can work on problems for weeks without human intervention. They also exhibit “alignment” issues, meaning they can fail to remain aligned with human intentions and interests.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1</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Risks that were once theoretical about AI now seem real. Over the past few months, there have been too many examples of AI agents acting autonomously, and maliciously, for us to ignore the threat.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2</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We are at a moment like the dawn of the nuclear weapons age. So long as AI supremacy is tied to national security in the U.S. and China, there is a strong incentive for policymakers to take a light touch with AI, for fear of a model gap, as John F. Kennedy might have called it.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【Para.1</w:t>
      </w:r>
      <w:r>
        <w:rPr>
          <w:rFonts w:ascii="Times New Roman" w:hAnsi="Times New Roman" w:cs="Times New Roman"/>
          <w:sz w:val="28"/>
          <w:szCs w:val="28"/>
          <w:lang w:val="en-US"/>
        </w:rPr>
        <w:t>3</w:t>
      </w:r>
      <w:r>
        <w:rPr>
          <w:rFonts w:hint="default"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hint="default" w:ascii="Times New Roman" w:hAnsi="Times New Roman" w:cs="Times New Roman"/>
          <w:sz w:val="28"/>
          <w:szCs w:val="28"/>
          <w:lang w:val="en-US"/>
        </w:rPr>
        <w:t>It took an arms race coupled with the horrifying examples of Hiroshima and Nagasaki to get the U.S. and U.S.S.R. to negotiate arms-control agreements. Now, global governments risk making the same mistake.“There is no day after tomorrow if China wins,” Treasury Secretary Scott Bessent said on Tuesday. “If they were to pull away from us on AI, then nothing would matter.”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ascii="Times New Roman" w:hAnsi="Times New Roman" w:eastAsia="宋体" w:cs="Times New Roman"/>
          <w:b/>
          <w:bCs/>
          <w:sz w:val="28"/>
          <w:szCs w:val="28"/>
          <w:lang w:val="en-US" w:eastAsia="zh-CN"/>
        </w:rPr>
        <w:t>September</w:t>
      </w:r>
      <w:r>
        <w:rPr>
          <w:rFonts w:hint="default" w:ascii="Times New Roman" w:hAnsi="Times New Roman" w:eastAsia="宋体" w:cs="Times New Roman"/>
          <w:b/>
          <w:bCs/>
          <w:sz w:val="28"/>
          <w:szCs w:val="28"/>
          <w:lang w:val="en-US" w:eastAsia="zh-CN"/>
        </w:rPr>
        <w:t xml:space="preserve"> 14</w:t>
      </w:r>
      <w:r>
        <w:rPr>
          <w:rFonts w:ascii="Times New Roman" w:hAnsi="Times New Roman" w:eastAsia="宋体" w:cs="Times New Roman"/>
          <w:b/>
          <w:bCs/>
          <w:sz w:val="28"/>
          <w:szCs w:val="28"/>
          <w:lang w:val="en-US" w:eastAsia="zh-CN"/>
        </w:rPr>
        <w:t xml:space="preserve">, 2026 | </w:t>
      </w:r>
      <w:r>
        <w:rPr>
          <w:rFonts w:ascii="Times New Roman" w:hAnsi="Times New Roman" w:eastAsia="宋体" w:cs="Times New Roman"/>
          <w:b/>
          <w:bCs/>
          <w:color w:val="333333"/>
          <w:spacing w:val="8"/>
          <w:sz w:val="28"/>
          <w:szCs w:val="28"/>
          <w:lang w:val="en-US" w:eastAsia="zh-CN"/>
        </w:rPr>
        <w:t>BARRON’S</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ascii="Times New Roman" w:hAnsi="Times New Roman" w:eastAsia="宋体" w:cs="Times New Roman"/>
          <w:color w:val="333333"/>
          <w:spacing w:val="8"/>
          <w:sz w:val="28"/>
          <w:szCs w:val="28"/>
          <w:lang w:val="en-US" w:eastAsia="zh-CN"/>
        </w:rPr>
        <w:t xml:space="preserve">886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jc w:val="both"/>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both"/>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GB"/>
        </w:rPr>
      </w:pPr>
      <w:bookmarkStart w:id="2" w:name="_GoBack"/>
      <w:bookmarkEnd w:id="2"/>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9.24</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A tale of two silicons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The trickle-down economics of the AI boom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What is AI good for? If polls of Americans are anything to go by, not much. A large majority oppose the building of artificial-intelligence data centres in their backyards. Nearly as many dislike the technology in general, fearing it may cost them their job or even humanity its future. Boosters retort that even before AI turbocharges productivity, as it promises to do, the data-centre investment boom is fuelling economic growth. And those benefits, the argument goes, trickle down to everyone, not just a handful of tech plutocrats.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America, any early effects are likely to be diluted by the economy’s vastness and variegation. Better places to look for hints of trickle-down chiponomics are South Korea, the world leader in advanced memory chips necessary to manage machine-learning workloads, and Taiwan, the global powerhouse in all other AI silicon.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AI bonanza is already evident in the two countries’ headline statistics. Swelling exports have lifted annual GDP growth in South Korea to a brisk 4% or so and to a blistering 12% in Taiwan. Private consumption, which was stagnant a year ago, is accelerating (see chart 1). In the second quarter of this year it accounted for around a fifth of the increase in Taiwanese GDP and roughly a third of South Korea’s.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economic windfall is most obvious in Taiwan. TSMC, the national champion which manufactures nearly all of the world’s AI chips, increased production from 10m standard silicon wafers in 2019 to 15m last year. Its capital expenditure rose even faster in that period, from $15bn to $41bn. This has helped push up Taiwanese real fixed capital formation by nearly 40% since late 2023.</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Resources are pouring into the semiconductor supply chain. The share of Taiwanese employees making electronic components or computers is nearly 11%, the highest since 2016. Pay rose first in Taiwan’s electronics sector, but since 2024 rises have spread across the workforce. Average nominal wages are now growing at 3% a year in Taiwan, compared with a pre-pandemic trend of 1.9%. Paul Cavey of East Asia Econ, a consultancy, points to the “Balassa-Samuelson effect”, an economic phenomenon whereby high productivity in an industry producing tradable goods bids up the cost of labour across the board.</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government, for its part, is preparing to spend the swelling tax take from its silicon goose on handouts. Social-welfare spending is set to rise by 40% in 2027. Last month Lai Ching-te, the president, proposed giving all Taiwanese citizens an “AI dividend” of around $300, at a total cost of $7bn (or around 6% of projected revenue). A new child benefit is in the works, too.</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Things are less clear-cut in South Korea. That is chiefly because demand for South Korean silicon increased all of a sudden, rather than gradually. Between 2023 and 2025, as prices of notoriously cyclical memory chips initially fell after a pandemic-era craze for electronics faded, Samsung Electronics, South Korea’s biggest chipmaker, actually trimmed its capital expenditure. SK Hynix, Samsung’s main rival, tripled its spending in that period, but from a relatively piddling $6bn a year.</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government-backed $500bn investment plan both firms have now signed up to has yet to be reflected in their outlays. In the past three years or so real fixed capital formation has risen by just 3%.</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Most of the past year’s rise in exports has thus come not from higher volumes, as in Taiwan, but from much higher prices. Economy-wide export prices have risen 57% over the past year in South Korea. Immediate benefits are therefore limited to the less than 1% of South Korean workers who toil in the chip industry and the shareholders of the memory duo and their suppliers (plus, indirectly, to the businesses which cater to the lucky few).</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【Para.10】</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nominal terms, average annual wage growth across the economy has fallen below the pre-pandemic pace of 3.5% (see chart 2). The “wealth effect”, whereby a stock-market rally makes share-owning consumers feel flush and spend more, is also muted. Although South Korea’s KOSPI stock-market has more than doubled in value since 2023, a study by South Korea’s central bank estimates that a dollar in equity gains translates to just one extra cent of consumer spending, compared with five cents, plus or minus, for stock-loving American households.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South Korea’s government is also stingier. Despite projections of a 50% rise in tax revenue in 2027, it is not planning to shower citizens with cash. Some 70% of the windfall will be saved, reckons Capital Economics, a consultancy. The money will mostly be channelled towards deficit reduction and a new Future Response Fund for long-term investments.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As Samsung and SK Hynix ratchet up their investments, production will increase. This should fuel demand for labour and eventually lift wages for everyone, as happened in Taiwan. Mr Cavey likens South Korea to Australia in 2003-11, when a commodity boom led to a lasting uptick in mining investments that eventually translated into broad economic benefits. The South Korean government’s planned investments in infrastructure and education may also yield productivity gains that Taiwan’s cash handouts would not. The effects of such policies will not be as quick. But they may prove more durable.</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September 19TH-25TH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Finance &amp; economics</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934</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9.25</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Actions and words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A new device helps severely paralysed patients communicate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Brain-computer interfaces have come a long way quickly. The first successful decoding of vowel sounds from a neural implant was reported in 2009. In 2021 a team from Edward Chang’s lab at the University of California, San Francisco decoded the words and sentences of a patient who could not speak.</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 new paper by Dr Chang’s group, published in Nature Neuroscience, describes the passing of another milestone. He and his colleagues have enabled two severely paralysed people to communicate with them, by means of an avatar, using both words and gestures. That is an auspicious result for the several million individuals around the world paralysed by strokes, traumatic injuries and degenerative illnesses such as motor-neuron disease.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group did this by implanting, through a small incision in the skull of each patient, an array of sensors that covered a large part of the motor cortex—the brain region responsible for controlling bodily motion. This procedure took over two hours, in part because the process for connecting the sensor array to a data-carrying cable is fiddly. But the team are working on a short-cut, using a wireless device, that would reduce this to 40 minutes.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implants themselves allowed Dr Chang and his team to collect signals as the patients attempted to say particular words and make particular gestures. They then used those data to train two machine-learning models for each patient—one to decode the words and the other the gestures—allowing them to reconstruct both actions concurrently with approximately two-thirds accuracy. It is the first occasion that such simultaneous decoding has been achieved, allowing patients to communicate more expressively.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There is further to go. These two initial individuals were restricted to a vocabulary of about ten words and phrases, such as “hello” and “nice to meet you”, and a similar number of gestures, such as a clap or a shrug. But Dr Chang and his collaborators are working on raising this to more than 100 actions. They also hope that the sensor array’s wide reach across the cortex means it may be possible to monitor not only intentions to communicate but also actions intended for the whole body. That might permit paralysed individuals to operate devices such as robots and exoskeletons, which really would be life-changing.</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19TH-25TH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400</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9.26</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Crowd control</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The rise of the phone-free concert</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“This machine is killing me,” croons Phoebe Bridgers in “Lost Boys”, her new song. She does not say whether she has a particular device in mind (or whether, like Rage Against the Machine, she is using the term as a metaphor for the establishment). But, given that her song is about self-destruction and stunted maturity, she may well be referring to a smartphone.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Elsewhere, however, Ms Bridgers has been loud and clear about her feelings towards the gadgets: she has banned phones during her world tour, which kicked off on September 14th. To gain entry, ticket-holders will have to seal their devices inside pouches that are then magnetically locked for the duration of the gig. That means no filming or taking photos, as fans annoyingly do at other performances. According to Samsung, a phonemaker, each concert-goer in Britain records on average 12 and a half minutes of video per show.</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She is not alone in enforcing such rules. Alicia Keys, Childish Gambino and Jack White have all banned smartphones at their gigs. Sir Paul McCartney barred them at two concerts he played in Los Angeles earlier this year. Bob Dylan’s upcoming tour will be phone-free.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For some musicians, nostalgia plays a part in their decision. Sir Paul described his LA concerts as “really special”: “It was like an old gig, like how everyone used to play.” But the anti-tech trend is not just a yearning for simpler times. Rather, the hope is that fans will get more out of the live-music experience. The idea is that it is all the more special for being ephemeral.</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Getting your hands on a ticket means getting to enjoy the company of your favourite musician and fellow enthusiasts without a screen in the way. Artists aver that concerts should be appreciated in the moment, not videoed for social media. At Harry Styles’s recent gig in Manchester, guests had to put their phones away, but they were given disposable cameras along with a note: “Thank you for really being here with me. Dance with all your friends.”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effect is scarcity—the only way to experience the show is to be there in person—and that may only heighten fans’ fear of missing out. Musicians have argued that the exclusivity is part of the point. Mr Dylan has said that the fact his performances will be “device-free” will “make the occasion even more unique”.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Music is meant to connect the performer and the listener. Artists have said that they hate looking out at a sea of iPhones rather than smiling faces. Ghost, a Swedish metal group, banned phones on its tour in 2025; their front man cited the “ever-growing distance I felt between the crowd and the band”. Kaytranada, a Canadian DJ, put it more bluntly: “It looks mad awkward from where I stand.”</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19TH-25TH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Culture</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523</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val="en-US" w:eastAsia="zh-CN"/>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9.27</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Not your bond</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Markets are waking up to the rich world’s reckless borrowing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Finance does not offer many sure bets. One, for the past few decades, has been that most rich-world sovereign bonds are safe. Those lending cash to all but the diciest governments could feel confident they would get it back, plus interest at a rate set by a free market, and without the principal being inflated away. Bonds also helpfully offset the volatility of stocks by gaining value during recessions. Today, as public debts mount, all that is under threat.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Since 2000 net government debt in America and Britain has tripled as a share of GDP. In France and Japan, it has doubled. The pile keeps growing: seldom outside wartime or recessions have rich-world deficits been higher than they are today.</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the 2010s, when borrowing was cheap, even big debts looked manageable. Today, yields are high and rising fast, most recently in response to the expectation that the war in Iran will force up interest rates. Sure enough on September 16th the Federal Reserve raised rates, becoming the fifth major rich-world central bank to do so this year. In expectation of monetary tightening to come, the ten-year Treasury yield has exceeded 5%, a threshold last crossed for any length of time two decades ago. The spreads on French bonds are not far off their levels during the European sovereign-debt crisis. After lying dormant for decades, yields are surging even in Japan. And the less said about Britain’s gilts, the better.</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October 2025 The Economist calculated that if America and Britain had to immediately refinance all their debts at prevailing five-year bond yields, they would each need higher taxes or spending cuts worth 2.3% of GDP just to stop debt from rising as a share of the economy. Today, with yields higher, the number in America has more than doubled, to 4.7%. In Britain it has risen to 2.7% even though the government has tightened its belt. France’s adjustment stands at 3.9% of GDP, up from 3.1% a year ago.</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Fortunately, in the real world governments need not refinance everything all at once. However, they have been shifting towards shorter-term debt, meaning that higher interest rates feed through to budgets more quickly than they did. Issuing short is alluring because it is usually cheaper. There is also less demand for long-term debt these days, because the defined-benefit pension funds that have long hungered for it are shrinking. But short-term debt and a volatile bond market make for an inflammable mix.</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It is not yet too late to solve the problem. Like other rich countries, Switzerland has an ageing population. But it is in fine fiscal fettle, with low debt, little inflation and bond yields that have correspondingly stayed low. Motivated governments have cut big deficits before. Sweden vanquished 11% deficits in the 1990s, splitting the job between spending cuts, tax rises and supply-side reforms to boost growth. “Be Swiss or Scandi” may not be realistic advice, but even “Be Greek” would do. Greece has pulled debt-to-GDP down sharply. This summer it issued bonds with lower yields than France’s.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trouble is that the next few years’ politics are perilous. In France big-spending populists are looking strong ahead of a presidential election in 2027. In America, which elects a new president in 2028, Democrats and Republicans are vying to promise ever-bigger cheques (literally, in the case of the $5,000 payouts Donald Trump proposed as a reward if Republicans win Congress in the midterms). Britain and Germany, each with its own fiscally lax populists, go to the polls in 2029.</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Politicians may well hope that surging growth from an artificial-intelligence boom will miraculously rescue them from painful budget negotiations. South Korea’s government projects that taxes from chipmaking proceeds will all but eliminate its budget deficit next year. But the productivity growth required to tame deficits is well above what most economists see as plausible, and in any case higher growth also raises interest rates.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What happens next? Among big debtors only Britain, which faced a market revolt after Liz Truss’s disastrous mini-budget in 2022, has a (semi-serious) plan to tighten. Expect more Truss-like moments elsewhere. Wise governments will respond with sounder budgeting; louche ones with financial shenanigans. Scott Bessent, America’s treasury secretary, began directly intervening in the Treasury market in August in a futile attempt to suppress yields.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【Para.10】</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a recession, more serious trouble could come. It is not inevitable that bond yields fall in downturns. That often fails to happen in emerging markets; and it didn’t in the rich world during the 1970s. Even a smaller-than-usual decline in yields would worsen the economic pain and compound the hit to budgets from higher unemployment. Bond markets, once havens, will have become danger zones.</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19TH-25TH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Leaders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840</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eastAsiaTheme="minorEastAsia"/>
          <w:b/>
          <w:bCs/>
          <w:sz w:val="28"/>
          <w:szCs w:val="28"/>
          <w:lang w:val="en-US" w:eastAsia="zh-C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p>
    <w:p>
      <w:pPr>
        <w:widowControl/>
        <w:jc w:val="both"/>
        <w:rPr>
          <w:rFonts w:ascii="Times New Roman" w:hAnsi="Times New Roman" w:eastAsia="宋体" w:cs="Times New Roman"/>
          <w:color w:val="auto"/>
          <w:kern w:val="0"/>
          <w:sz w:val="20"/>
          <w:szCs w:val="20"/>
        </w:rPr>
      </w:pPr>
    </w:p>
    <w:p>
      <w:pPr>
        <w:widowControl/>
        <w:jc w:val="both"/>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Segoe Print"/>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Helvetica Neue">
    <w:altName w:val="Arial"/>
    <w:panose1 w:val="00000000000000000000"/>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C715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0271"/>
    <w:rsid w:val="001E5562"/>
    <w:rsid w:val="001F1D68"/>
    <w:rsid w:val="001F2174"/>
    <w:rsid w:val="001F5BDE"/>
    <w:rsid w:val="00202343"/>
    <w:rsid w:val="002033F6"/>
    <w:rsid w:val="00210DFC"/>
    <w:rsid w:val="00220698"/>
    <w:rsid w:val="00230DA5"/>
    <w:rsid w:val="00241B65"/>
    <w:rsid w:val="00243540"/>
    <w:rsid w:val="0024455D"/>
    <w:rsid w:val="002529FD"/>
    <w:rsid w:val="00256647"/>
    <w:rsid w:val="00257485"/>
    <w:rsid w:val="00261C75"/>
    <w:rsid w:val="00270610"/>
    <w:rsid w:val="00270916"/>
    <w:rsid w:val="00273CC2"/>
    <w:rsid w:val="00277B33"/>
    <w:rsid w:val="0028168B"/>
    <w:rsid w:val="00281756"/>
    <w:rsid w:val="0029426C"/>
    <w:rsid w:val="00294B43"/>
    <w:rsid w:val="002B1035"/>
    <w:rsid w:val="002B4CFD"/>
    <w:rsid w:val="002B5B51"/>
    <w:rsid w:val="002C13F2"/>
    <w:rsid w:val="002C16B7"/>
    <w:rsid w:val="002E2450"/>
    <w:rsid w:val="002E4796"/>
    <w:rsid w:val="002E4990"/>
    <w:rsid w:val="00300465"/>
    <w:rsid w:val="00300D9B"/>
    <w:rsid w:val="003145CF"/>
    <w:rsid w:val="00327F6E"/>
    <w:rsid w:val="003357FA"/>
    <w:rsid w:val="00337B9C"/>
    <w:rsid w:val="003474BF"/>
    <w:rsid w:val="003538B4"/>
    <w:rsid w:val="00355447"/>
    <w:rsid w:val="00361A9D"/>
    <w:rsid w:val="003671E6"/>
    <w:rsid w:val="00377153"/>
    <w:rsid w:val="0038256C"/>
    <w:rsid w:val="00382F4D"/>
    <w:rsid w:val="00391E6E"/>
    <w:rsid w:val="00395A06"/>
    <w:rsid w:val="00395E92"/>
    <w:rsid w:val="0039614A"/>
    <w:rsid w:val="003A2E95"/>
    <w:rsid w:val="003A4ADA"/>
    <w:rsid w:val="003A6892"/>
    <w:rsid w:val="003B5659"/>
    <w:rsid w:val="003C25A4"/>
    <w:rsid w:val="003C476A"/>
    <w:rsid w:val="003C6F9B"/>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500329"/>
    <w:rsid w:val="00513BAD"/>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0CF6"/>
    <w:rsid w:val="00584B22"/>
    <w:rsid w:val="00591323"/>
    <w:rsid w:val="005B6E8E"/>
    <w:rsid w:val="005B7AAD"/>
    <w:rsid w:val="005C068D"/>
    <w:rsid w:val="005C0FE6"/>
    <w:rsid w:val="005C4D2E"/>
    <w:rsid w:val="005C52A8"/>
    <w:rsid w:val="005C6489"/>
    <w:rsid w:val="005C7C75"/>
    <w:rsid w:val="005D3247"/>
    <w:rsid w:val="005E0EAF"/>
    <w:rsid w:val="005E43B6"/>
    <w:rsid w:val="005E49EF"/>
    <w:rsid w:val="005F5B12"/>
    <w:rsid w:val="005F6B8F"/>
    <w:rsid w:val="005F71A1"/>
    <w:rsid w:val="005F74FA"/>
    <w:rsid w:val="00610314"/>
    <w:rsid w:val="00615E1A"/>
    <w:rsid w:val="006170E7"/>
    <w:rsid w:val="00620FCD"/>
    <w:rsid w:val="0062566D"/>
    <w:rsid w:val="00633FFF"/>
    <w:rsid w:val="006510F5"/>
    <w:rsid w:val="00653791"/>
    <w:rsid w:val="006612E5"/>
    <w:rsid w:val="00671265"/>
    <w:rsid w:val="0067212E"/>
    <w:rsid w:val="00687EDE"/>
    <w:rsid w:val="0069504D"/>
    <w:rsid w:val="0069642B"/>
    <w:rsid w:val="006A3838"/>
    <w:rsid w:val="006B1ED1"/>
    <w:rsid w:val="006B204C"/>
    <w:rsid w:val="006B3105"/>
    <w:rsid w:val="006B368C"/>
    <w:rsid w:val="006B4969"/>
    <w:rsid w:val="006B5F4F"/>
    <w:rsid w:val="006B615B"/>
    <w:rsid w:val="006B67EE"/>
    <w:rsid w:val="006C2256"/>
    <w:rsid w:val="006E3236"/>
    <w:rsid w:val="006E3E7C"/>
    <w:rsid w:val="006E60EF"/>
    <w:rsid w:val="006F259E"/>
    <w:rsid w:val="006F6F0E"/>
    <w:rsid w:val="007000B5"/>
    <w:rsid w:val="0070356B"/>
    <w:rsid w:val="00705EF0"/>
    <w:rsid w:val="00723093"/>
    <w:rsid w:val="00726130"/>
    <w:rsid w:val="00733D23"/>
    <w:rsid w:val="007351D4"/>
    <w:rsid w:val="00741D29"/>
    <w:rsid w:val="0075027F"/>
    <w:rsid w:val="007510F8"/>
    <w:rsid w:val="00751436"/>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0508D"/>
    <w:rsid w:val="008224D3"/>
    <w:rsid w:val="00827539"/>
    <w:rsid w:val="00834C05"/>
    <w:rsid w:val="008354CB"/>
    <w:rsid w:val="0083628D"/>
    <w:rsid w:val="00837157"/>
    <w:rsid w:val="00837D3F"/>
    <w:rsid w:val="00841B65"/>
    <w:rsid w:val="00845176"/>
    <w:rsid w:val="008455C5"/>
    <w:rsid w:val="008500BD"/>
    <w:rsid w:val="0086753B"/>
    <w:rsid w:val="0087355A"/>
    <w:rsid w:val="0087541F"/>
    <w:rsid w:val="00877DED"/>
    <w:rsid w:val="00877EA4"/>
    <w:rsid w:val="0089787E"/>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71427"/>
    <w:rsid w:val="00990449"/>
    <w:rsid w:val="009A3543"/>
    <w:rsid w:val="009A3EC9"/>
    <w:rsid w:val="009B07E4"/>
    <w:rsid w:val="009B72E3"/>
    <w:rsid w:val="009C4FFE"/>
    <w:rsid w:val="009D018B"/>
    <w:rsid w:val="009E4938"/>
    <w:rsid w:val="00A05BF4"/>
    <w:rsid w:val="00A11813"/>
    <w:rsid w:val="00A1491E"/>
    <w:rsid w:val="00A171B8"/>
    <w:rsid w:val="00A31482"/>
    <w:rsid w:val="00A448F6"/>
    <w:rsid w:val="00A50E16"/>
    <w:rsid w:val="00A521F7"/>
    <w:rsid w:val="00A52EC9"/>
    <w:rsid w:val="00A532D2"/>
    <w:rsid w:val="00A57816"/>
    <w:rsid w:val="00A61DE6"/>
    <w:rsid w:val="00A66469"/>
    <w:rsid w:val="00A750FF"/>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B4F77"/>
    <w:rsid w:val="00BC0449"/>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3EF9"/>
    <w:rsid w:val="00CE4D9E"/>
    <w:rsid w:val="00CE6B52"/>
    <w:rsid w:val="00CF66C6"/>
    <w:rsid w:val="00CF6F22"/>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3601D"/>
    <w:rsid w:val="00E42F14"/>
    <w:rsid w:val="00E470C9"/>
    <w:rsid w:val="00E54599"/>
    <w:rsid w:val="00E773E7"/>
    <w:rsid w:val="00E86BFB"/>
    <w:rsid w:val="00E90843"/>
    <w:rsid w:val="00E94CCA"/>
    <w:rsid w:val="00E9737B"/>
    <w:rsid w:val="00E97B2E"/>
    <w:rsid w:val="00EA1AC7"/>
    <w:rsid w:val="00EB6051"/>
    <w:rsid w:val="00EB7BC2"/>
    <w:rsid w:val="00EC3460"/>
    <w:rsid w:val="00ED408D"/>
    <w:rsid w:val="00EF108B"/>
    <w:rsid w:val="00EF122B"/>
    <w:rsid w:val="00EF74D2"/>
    <w:rsid w:val="00F02BA9"/>
    <w:rsid w:val="00F22963"/>
    <w:rsid w:val="00F23DE2"/>
    <w:rsid w:val="00F35B2D"/>
    <w:rsid w:val="00F43E8E"/>
    <w:rsid w:val="00F52D36"/>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4E33"/>
    <w:rsid w:val="00FD7D2C"/>
    <w:rsid w:val="00FE1FDA"/>
    <w:rsid w:val="02474E17"/>
    <w:rsid w:val="033A0C2B"/>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FD581"/>
    <w:rsid w:val="0F9F58AA"/>
    <w:rsid w:val="0FB37411"/>
    <w:rsid w:val="0FFF1C78"/>
    <w:rsid w:val="0FFF4D2E"/>
    <w:rsid w:val="0FFFA7A8"/>
    <w:rsid w:val="11FE23FE"/>
    <w:rsid w:val="127DFA1F"/>
    <w:rsid w:val="129B8469"/>
    <w:rsid w:val="133EC30B"/>
    <w:rsid w:val="133FB905"/>
    <w:rsid w:val="13FFA9E5"/>
    <w:rsid w:val="1564BA26"/>
    <w:rsid w:val="15EDA710"/>
    <w:rsid w:val="15EE6F16"/>
    <w:rsid w:val="15FD1ED8"/>
    <w:rsid w:val="15FD520A"/>
    <w:rsid w:val="16DF5FD3"/>
    <w:rsid w:val="16FB770D"/>
    <w:rsid w:val="16FFD038"/>
    <w:rsid w:val="174FC202"/>
    <w:rsid w:val="17EF64E5"/>
    <w:rsid w:val="17FF0555"/>
    <w:rsid w:val="19F54145"/>
    <w:rsid w:val="1B3D28E6"/>
    <w:rsid w:val="1B7F579D"/>
    <w:rsid w:val="1B9D479F"/>
    <w:rsid w:val="1BA88194"/>
    <w:rsid w:val="1BBFAFD6"/>
    <w:rsid w:val="1BFDCF75"/>
    <w:rsid w:val="1BFFD357"/>
    <w:rsid w:val="1BFFFCAA"/>
    <w:rsid w:val="1C4526C3"/>
    <w:rsid w:val="1C8FC936"/>
    <w:rsid w:val="1CD7D6BD"/>
    <w:rsid w:val="1CFE9F7A"/>
    <w:rsid w:val="1CFF0BD2"/>
    <w:rsid w:val="1D497807"/>
    <w:rsid w:val="1D7DD281"/>
    <w:rsid w:val="1D7FFEA5"/>
    <w:rsid w:val="1DAF0203"/>
    <w:rsid w:val="1DCF2F6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FE0CAC"/>
    <w:rsid w:val="22A3071D"/>
    <w:rsid w:val="237FB98A"/>
    <w:rsid w:val="24612064"/>
    <w:rsid w:val="25EF52CD"/>
    <w:rsid w:val="25FBD824"/>
    <w:rsid w:val="26FD17B7"/>
    <w:rsid w:val="273A726C"/>
    <w:rsid w:val="276D54D7"/>
    <w:rsid w:val="27745B03"/>
    <w:rsid w:val="277B199F"/>
    <w:rsid w:val="27BB5A44"/>
    <w:rsid w:val="27DF9DD9"/>
    <w:rsid w:val="27EBCB70"/>
    <w:rsid w:val="27F77231"/>
    <w:rsid w:val="27FF28CB"/>
    <w:rsid w:val="28F351F3"/>
    <w:rsid w:val="296ECE31"/>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14CC9"/>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0F06C49"/>
    <w:rsid w:val="312B798D"/>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877708"/>
    <w:rsid w:val="36BFF27E"/>
    <w:rsid w:val="36C78C5D"/>
    <w:rsid w:val="36CB32BD"/>
    <w:rsid w:val="36CD7F34"/>
    <w:rsid w:val="36E6DC29"/>
    <w:rsid w:val="36F7E763"/>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22481"/>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1DB51EE"/>
    <w:rsid w:val="437C660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FDC3DE"/>
    <w:rsid w:val="49ABB3D7"/>
    <w:rsid w:val="49DF02E2"/>
    <w:rsid w:val="4AB16A5A"/>
    <w:rsid w:val="4AFDC7D0"/>
    <w:rsid w:val="4AFF055D"/>
    <w:rsid w:val="4B7D5655"/>
    <w:rsid w:val="4B8FDF68"/>
    <w:rsid w:val="4BEF1F7D"/>
    <w:rsid w:val="4BF3911E"/>
    <w:rsid w:val="4BF5F7FA"/>
    <w:rsid w:val="4BFCF108"/>
    <w:rsid w:val="4C0E9BE6"/>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F01D9"/>
    <w:rsid w:val="4EFFE0C7"/>
    <w:rsid w:val="4F33B5ED"/>
    <w:rsid w:val="4F3772F1"/>
    <w:rsid w:val="4F4F2E9D"/>
    <w:rsid w:val="4F5CEE64"/>
    <w:rsid w:val="4F7E6940"/>
    <w:rsid w:val="4F7F3498"/>
    <w:rsid w:val="4F9D230C"/>
    <w:rsid w:val="4FA551CC"/>
    <w:rsid w:val="4FBFEDB6"/>
    <w:rsid w:val="4FC7FD95"/>
    <w:rsid w:val="4FC82E13"/>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447114"/>
    <w:rsid w:val="5157776E"/>
    <w:rsid w:val="51FE6A9C"/>
    <w:rsid w:val="521BE836"/>
    <w:rsid w:val="533E99BD"/>
    <w:rsid w:val="53407F78"/>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030761"/>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E2614B"/>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127F8"/>
    <w:rsid w:val="66F726C7"/>
    <w:rsid w:val="66F7FC67"/>
    <w:rsid w:val="6713235F"/>
    <w:rsid w:val="672D26EB"/>
    <w:rsid w:val="674FFB47"/>
    <w:rsid w:val="6767E558"/>
    <w:rsid w:val="6777CC14"/>
    <w:rsid w:val="6779C251"/>
    <w:rsid w:val="677EF20D"/>
    <w:rsid w:val="6795389F"/>
    <w:rsid w:val="67A71DF8"/>
    <w:rsid w:val="67B77BC7"/>
    <w:rsid w:val="67BF00A5"/>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15B09C7"/>
    <w:rsid w:val="717CA1C2"/>
    <w:rsid w:val="718B2FAE"/>
    <w:rsid w:val="718B3027"/>
    <w:rsid w:val="71BFBE04"/>
    <w:rsid w:val="71FBE2BD"/>
    <w:rsid w:val="71FD6B76"/>
    <w:rsid w:val="71FF2F4C"/>
    <w:rsid w:val="726A0593"/>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01AD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5F4137"/>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1B1F4-1BFE-43B6-8F0C-999C52A819B0}">
  <ds:schemaRefs/>
</ds:datastoreItem>
</file>

<file path=docProps/app.xml><?xml version="1.0" encoding="utf-8"?>
<Properties xmlns="http://schemas.openxmlformats.org/officeDocument/2006/extended-properties" xmlns:vt="http://schemas.openxmlformats.org/officeDocument/2006/docPropsVTypes">
  <Template>Normal</Template>
  <Pages>34</Pages>
  <Words>5946</Words>
  <Characters>27196</Characters>
  <Lines>476</Lines>
  <Paragraphs>182</Paragraphs>
  <TotalTime>0</TotalTime>
  <ScaleCrop>false</ScaleCrop>
  <LinksUpToDate>false</LinksUpToDate>
  <CharactersWithSpaces>32197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2026-09-17T02:42:00Z</dcterms:created>
  <dcterms:modified xsi:type="dcterms:W3CDTF">2026-09-19T12:46:33Z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40E39FBCBC324770BD681013DD953345_12</vt:lpwstr>
  </property>
</Properties>
</file>