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center"/>
        <w:rPr>
          <w:rFonts w:ascii="Times New Roman" w:hAnsi="Times New Roman" w:eastAsia="MS Mincho" w:cs="Times New Roman"/>
          <w:b/>
          <w:bCs/>
          <w:color w:val="333333"/>
          <w:spacing w:val="8"/>
          <w:sz w:val="28"/>
          <w:szCs w:val="28"/>
          <w:lang w:val="en-GB"/>
        </w:rPr>
      </w:pPr>
      <w:r>
        <w:rPr>
          <w:rFonts w:hint="eastAsia" w:ascii="Times New Roman" w:hAnsi="Times New Roman" w:eastAsia="宋体" w:cs="Times New Roman"/>
          <w:b/>
          <w:bCs/>
          <w:color w:val="333333"/>
          <w:spacing w:val="8"/>
          <w:sz w:val="28"/>
          <w:szCs w:val="28"/>
          <w:lang w:val="en-US" w:eastAsia="zh-CN"/>
        </w:rPr>
        <w:t>（</w:t>
      </w:r>
      <w:bookmarkStart w:id="0" w:name="OLE_LINK2"/>
      <w:r>
        <w:rPr>
          <w:rFonts w:hint="eastAsia" w:ascii="Times New Roman" w:hAnsi="Times New Roman" w:eastAsia="宋体" w:cs="Times New Roman"/>
          <w:b/>
          <w:bCs/>
          <w:color w:val="333333"/>
          <w:spacing w:val="8"/>
          <w:sz w:val="28"/>
          <w:szCs w:val="28"/>
          <w:lang w:val="en-US" w:eastAsia="zh-CN"/>
        </w:rPr>
        <w:t>9.7</w:t>
      </w:r>
      <w:r>
        <w:rPr>
          <w:rFonts w:ascii="Times New Roman" w:hAnsi="Times New Roman" w:eastAsia="宋体" w:cs="Times New Roman"/>
          <w:b/>
          <w:bCs/>
          <w:color w:val="333333"/>
          <w:spacing w:val="8"/>
          <w:sz w:val="28"/>
          <w:szCs w:val="28"/>
          <w:lang w:val="en-US" w:eastAsia="zh-CN"/>
        </w:rPr>
        <w:t>—</w:t>
      </w:r>
      <w:bookmarkEnd w:id="0"/>
      <w:r>
        <w:rPr>
          <w:rFonts w:hint="eastAsia" w:ascii="Times New Roman" w:hAnsi="Times New Roman" w:eastAsia="宋体" w:cs="Times New Roman"/>
          <w:b/>
          <w:bCs/>
          <w:color w:val="333333"/>
          <w:spacing w:val="8"/>
          <w:sz w:val="28"/>
          <w:szCs w:val="28"/>
          <w:lang w:val="en-US" w:eastAsia="zh-CN"/>
        </w:rPr>
        <w:t>9.13）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9.7</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1" w:name="OLE_LINK1"/>
      <w:r>
        <w:rPr>
          <w:rFonts w:ascii="Times New Roman" w:hAnsi="Times New Roman" w:eastAsia="宋体" w:cs="Times New Roman"/>
          <w:b/>
          <w:bCs/>
          <w:color w:val="333333"/>
          <w:spacing w:val="8"/>
          <w:sz w:val="28"/>
          <w:szCs w:val="28"/>
          <w:lang w:val="en-US" w:eastAsia="zh-CN"/>
        </w:rPr>
        <w:t>The Guardian</w:t>
      </w:r>
      <w:bookmarkEnd w:id="1"/>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AI transcriptions of talks with doctors are ‘potential threat to safety of patients’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AI technology that listens to and transcribes patients’ consultations with doctors can put them at risk by getting the names of drugs and illnesses wrong, an NHS watchdog has warned.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one case a woman was shocked when the AI scribe’s summary of her conversation wrongly said she had demyelination – serious nerve damage that can lead to multiple sclerosis. It was only when the patient, an NHS health professional, queried the AI tool’s record of the result of her MRI scan that the hospital corrected it to what it should have been – “null demyelination”. “This was eventually corrected but it was a very traumatising experience to be given an incorrect diagnosis because of AI and then be told it’s a typo,” said the woman, who asked not to be named.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Healthwatch England has highlighted the case and other mistakes by AI scribes to show that the technology, which the NHS is introducing, is a potential threat to patients’ safety. Unless detected, errors could end up in patients’ medical records and affect their care, it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another case an AI scribe confused the drug the GP had prescribed with a different one of a similar name – a blunder which, again, the patient, not the doctor, identified.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On another occasion an AI-generated summary letter did not say that the hospital consultant had told the patient to seek a repeat prescription from their GP for their migraine, which could have left them unable to get their medication.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Healthwatch, the statutory NHS patient champion, has heard “multiple stories from patients who have noticed these errors when a health professional hasn’t”, it said. “These inaccuracies may persist in records if the patient doesn’t catch them.”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government’s 10-year health plan for the NHS in England expects AI scribes to “liberate staff from their current burden of bureaucracy and administration, freeing up time to care and to focus on the patient”. It is central to the planned “big shift” from the NHS being analogue to a digital-based service.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Healthwatch said: “Healthcare has never been error-free. But our findings show the urgent need for clarity over how patients can report and get corrected any mistakes made by AI scribing tools or the professionals that use them.”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Healthwatch added that it is “worrying” that the Medicines and Healthcare products Regulatory Agency has decided not to classify AI scribes as medical devices, which means there will be no England-wide oversight to ensure they are safe to use and effective. GPs and hospital doctors in England are already using 27 different AI scribes.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Ministers have been warned that the NHS and medics could be sued over mistakes made by AI.</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AI’s accuracy was in the spotlight recently when patients in Rotherham complained to their local Healthwatch that an AI receptionist used by some local GP practices did not understand their Yorkshire accents.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Dr Shier Ziser Dawood, a GP in London, last year warned in a leading medical journal that AI scribes may prove “a double-edged sword” for family doctors. She recounted how an AI scribe said she had told her patient to “continue their Prozac” even though she had not prescribed or discussed that drug with them.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She warned that the need for doctors to review all transcripts in order to check for errors meant that AI tools are not yet proving time-saving.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Dr Charlotte Blease, an expert in AI use in healthcare at Uppsala university in Sweden, said “AI can and does make mistakes”, but added: “The fact is, doctors can and do make mistakes without AI. And it is certainly possible the error rate is worse.”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31</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641</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9.8</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Changes to vet practice rules ‘put pet owners at risk of being ripped off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Pet owners have been warned they risk being ripped off by private equity firms that have bought local veterinary clinics after the Competition and Markets Authority (CMA) removed requirements for multinational companies to disclose which practices they owned.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CMA recently ran an investigation into the monopolisation of vet practices and found the lack of competition and transparency of ownership had led to high prices and a lack of information for customers. Pet owners were often unaware their local vet practice could be owned by an international private equity company.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found pet owners paid 16.6% more on average at large vet groups than at independent practices. It said the £6.3bn market was not fit for purpose and needed to be modernised.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As a result, the CMA and ministers announced proposals in a white paper earlier this summer including the capping of prescriptions for pets at £21 and more transparency over ownership.</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the professional body the Progressive Veterinary Association (PVA) has threatened the government agency with a judicial review after it changed the wording in its plans in a way the PVA says allows multinational companies to obscure their ownership of vet practices.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More than 60% of veterinary practices are owned in whole or in part by six groups: CVS, Pets at Home, Medivet, IVC and VetPartners, which are owned by private equity investors; and Linnaeus, whose parent company is Mars Petcare, a subsidiary of the US confectionery group Mars.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Rather than requiring the name of large multinational companies or private equity investors to be listed as the owner of the vet practice, the new rules would allow corporates to use a brand name or the name of the original independent practice.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initial wording of the proposal from the CMA said vets had to disclose their ownership and name the “corporate vet group”. This has been softened to “network or group”, meaning the name of the vet practice or subsidiary of the company could be named instead of the conglomerate.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Dr Iain McGill, a director of the PVA, told the Guardian: “This is bad news for pet owners and their animals. Ultimately, large corporations would be allowed to hide the fact that they are the ultimate controller of local vet practices and operate behind sometimes misleading brand names.”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 added: “Where they have a choice, pet owners often prefer independent practices, which the CMA found on average to be cheaper than corporate practices.”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CMA told vets who complained that the disclosure of the ultimate parent company names might not be of any meaningful benefit to pet owners. It added that these corporate names could be unrecognisable and that pet owners were more familiar with the high street vet or pet company names.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However, the PVA argued that pet owners had the right to know if their local vet practice was owned by a large conglomerate.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 CMA spokesperson said: “It is critical that pet owners know whether their local practice is part of a national group or locally owned, and we are confident the changes we are making will achieve this.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future, all practices will have to make ownership links clear by using brand names that people recognise on signs and online.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“Our proposals were supported by large and small vet practices and consumer groups, and we made our decision on this in our final report in March.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“We’re now considering comments on exactly how the changes should be put in place to make sure they are clear and workable for pet owners and vets.”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hint="eastAsia" w:ascii="Times New Roman" w:hAnsi="Times New Roman" w:eastAsia="宋体" w:cs="Times New Roman"/>
          <w:b/>
          <w:bCs/>
          <w:sz w:val="28"/>
          <w:szCs w:val="28"/>
          <w:lang w:val="en-US" w:eastAsia="zh-CN"/>
        </w:rPr>
        <w:t>31</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637</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sz w:val="28"/>
          <w:szCs w:val="28"/>
          <w:lang w:val="en-US" w:eastAsia="zh-CN"/>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9.9</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BARRON’S</w:t>
      </w:r>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As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Billionaires’</w:t>
      </w:r>
      <w:r>
        <w:rPr>
          <w:rFonts w:hint="eastAsia"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Ranks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Swell,</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Here’s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One</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Living</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His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Best</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Life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How was your August? For aviation mogul Kenn Ricci, the answer must be fantastico, after his epic 70th birthday party on Italy’s Lake Como. The multi-night, black-tie affair, which per Italian media featured entertainment from Mariah Carey, John Legend, Elton John, and Kenny G, was held at the Villa d’Este in Cernobbio.</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five-star luxury hotel, formerly a noble residence from the 16th century, is a “favorite and regular stop for Ricci [pronounced ‘Ricky’]… on his many visits to Lake Como for over 30 years,” notes the website of Flexjet, the company he chairs.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party had locals wondering whether hosting an affair of this magnitude was too much for Lake Como. Leading up to the party, news outlet La Provencia reported that a “small army is hard at work: hundreds of professionals including artistic directors, audio/lighting technicians, set designers, drivers, makeup artists, hairstylists, and service staff. Other villas and lodging facilities have been reserved to accommodate the crew.”</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It’s the stuff of “Champagne wishes and caviar dreams,” as Robin Leach used to say—and some light summer fare for Barron’s readers. But Ricci’s blowout is also emblematic of the flood of wealthy Americans invading Europe (basking in the glow of the strong U.S. dollar), and the soaring business of private aviation (no doubt, many of his guests flew on Ricci’s Flexjet—a smaller, privately held competitor of Berkshire Hathaway–owned NetJets).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Most significantly, though, Ricci’s soiree reflects the unfettered, inexorable rise of the ultra rich, a point brought home in a new report, Billionaire Census 2026, by research firm Altrata. The study calculated that the number of billionaires around the globe climbed 8.2% in 2025 to 3,795, the biggest increase in five years. As for their wealth, that was up a brisk 12.8% to a record $15.1 trillion, equal to 20% of the market cap of the S&amp;amp;P 500 index, the third consecutive year of accelerating growth.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main driver, of course, was the U.S. tech business. Ball don’t lie. The number of billionaires in the U.S., home to a third of the world’s “billies,” grew 11.5%, to 1,265. They’re worth $6.7 trillion, or 44% of global billionaire wealth. Yes, China’s billionaire population climbed 13%, but the U.S. still has three times more.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Then there’s the very top of the food chain. “The planet’s 29 richest people, each with fortunes above $50 billion, had a combined net worth of $4.1 trillion, or a staggering 27% of all billionaire wealth,” Altrata notes.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This domain is dominated by U.S. tech bros. According to the Bloomberg Billionaire List, the nine richest people on the planet are all U.S. technology male centibillionaires, worth collectively over $2.6 trillion.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As for metropolises, don’t tell Zohran Mamdani, but New York is the leading city for billionaires, with that population rising 8% last year to 164. New York has more billionaires than any country other than Germany, China, and of course, the U.S. San Francisco comes in at No.3, with 99.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No.2 and No.4 cities, Hong Kong and London, respectively, were the only top 15 municipalities whose billionaire population fell. One could argue both are retreating from globalism—in London’s case, post-Brexit, and in Hong Kong’s, the Chinese government’s economic and societal crackdown. Singapore’s billionaire population grew the most last year, perhaps at Hong Kong’s expense.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But back to the pride of Cleveland, Ricci, who didn’t make his fortune via today’s typical wealth-creating acronyms (GPUs or AI). Ricci got super rich the old-fashioned way, he earned it (as John Houseman said in Smith Barney ads of yore), serving the super rich; specifically, selling them fractional shares of private jets. Flexjet doesn’t release financials beyond saying it did $4.6 billion in combined 2025 year-end revenue—up from zero when it was founded in 1995. Last year, private-equity group L Catterton, which is backed by LVMH, led an $800 million investment in Flexjet.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Ricci is a Horatio Alger story on wings. Growing up in modest means and beginning as a pilot out of the Air Force, Ricci borrowed money, including $500 from his dad, and bought a small charter business. He flew musical acts like Barbra Streisand and Elton John, and became Bill Clinton’s pilot on his run for president in 1992. Ricci would later partner with Raytheon Technologies (now RTX), and then buy Flexjet from Bombardier.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“We’ve chosen as a family not to disguise and not to hide from our wealth,” he said recently in “How Kenn Ricci Went From Pilot to Billionaire,” the first episode of The WSJ Money Interview. “We have family meetings every quarter, and we’re passing on wealth. I’m not waiting till I die. I want to watch my kids enjoy their wealth. We have a family limited partnership the kids can borrow from to start businesses.”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ascii="Times New Roman" w:hAnsi="Times New Roman" w:eastAsia="宋体" w:cs="Times New Roman"/>
          <w:b/>
          <w:bCs/>
          <w:sz w:val="28"/>
          <w:szCs w:val="28"/>
          <w:lang w:val="en-US" w:eastAsia="zh-CN"/>
        </w:rPr>
        <w:t xml:space="preserve">August </w:t>
      </w:r>
      <w:r>
        <w:rPr>
          <w:rFonts w:hint="eastAsia" w:ascii="Times New Roman" w:hAnsi="Times New Roman" w:eastAsia="宋体" w:cs="Times New Roman"/>
          <w:b/>
          <w:bCs/>
          <w:sz w:val="28"/>
          <w:szCs w:val="28"/>
          <w:lang w:val="en-US" w:eastAsia="zh-CN"/>
        </w:rPr>
        <w:t>31</w:t>
      </w:r>
      <w:r>
        <w:rPr>
          <w:rFonts w:ascii="Times New Roman" w:hAnsi="Times New Roman" w:eastAsia="宋体" w:cs="Times New Roman"/>
          <w:b/>
          <w:bCs/>
          <w:sz w:val="28"/>
          <w:szCs w:val="28"/>
          <w:lang w:val="en-US" w:eastAsia="zh-CN"/>
        </w:rPr>
        <w:t xml:space="preserve">, 2026 | </w:t>
      </w:r>
      <w:r>
        <w:rPr>
          <w:rFonts w:ascii="Times New Roman" w:hAnsi="Times New Roman" w:eastAsia="宋体" w:cs="Times New Roman"/>
          <w:b/>
          <w:bCs/>
          <w:color w:val="333333"/>
          <w:spacing w:val="8"/>
          <w:sz w:val="28"/>
          <w:szCs w:val="28"/>
          <w:lang w:val="en-US" w:eastAsia="zh-CN"/>
        </w:rPr>
        <w:t>BARRON’S</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833</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GB"/>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9.10</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Anti-social</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Social-media curbs for kids are not working in Asia</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It seemed A parent’s dream. To manage the time her 14‑year‑old son spent online, Harini Naidu had tried various tactics: from restricting Wi‑Fi access to turning the internet off at night. So she was excited when Australia became the first country in the world to ban social‑media accounts for under‑16s. But the rules, imposed in December, “literally did nothing”. Her son lost his YouTube account, but can still watch videos without logging in. Ms Naidu’s daughter Ishana was 15, but has kept her accounts on X</w:t>
      </w:r>
      <w:r>
        <w:rPr>
          <w:rFonts w:hint="eastAsia" w:ascii="Times New Roman" w:hAnsi="Times New Roman" w:cs="Times New Roman"/>
          <w:sz w:val="28"/>
          <w:szCs w:val="28"/>
        </w:rPr>
        <w:t>, Instagram, Snapchat and TikTok. Ishana says: “It’s so underwhelming that people have forgotten there’s a ban.” They do not even have to hide behind virtual private networks.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experiences of teens like Ishana matter to other countries, too. Since Australia brought in its curbs, dozens have done the same, or are considering it. On August 24th New Zealand announced a planned ban. Policymakers worry that social media cause vari</w:t>
      </w:r>
      <w:r>
        <w:rPr>
          <w:rFonts w:ascii="Times New Roman" w:hAnsi="Times New Roman" w:cs="Times New Roman"/>
          <w:sz w:val="28"/>
          <w:szCs w:val="28"/>
        </w:rPr>
        <w:t>ous harms to the young. They also know that bans are popular with adults. Many cheered on August 26th when Meta agreed to change its products for under‑18s in most American states, including a two‑hours‑per‑day limit on their scrolling, after settling a la</w:t>
      </w:r>
      <w:r>
        <w:rPr>
          <w:rFonts w:hint="eastAsia" w:ascii="Times New Roman" w:hAnsi="Times New Roman" w:cs="Times New Roman"/>
          <w:sz w:val="28"/>
          <w:szCs w:val="28"/>
        </w:rPr>
        <w:t>wsuit alleging its platforms harm youngsters.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Yet so far, Australia’s policy has proved largely ineffective. At first the government was able to tout some successes. Social‑media platforms had removed, restricted or deactivated almost 5m accounts in the first month. And it may be too early to write off the effectiveness of Australia’s new rules. But studies have shown they have so far had minimal impact on usage. One in the British Medical Journal in June found that, three months after restrictions were introduced, 85% of under‑16s said they still used banned platforms. Twelve‑ and 13‑year‑olds spent the same amount of time on social media as before the ban. Worries that children migrate to alternative platforms, with lower safety standards, were mostly unfounded—but largely because so many remain on ex</w:t>
      </w:r>
      <w:r>
        <w:rPr>
          <w:rFonts w:hint="eastAsia" w:ascii="Times New Roman" w:hAnsi="Times New Roman" w:cs="Times New Roman"/>
          <w:sz w:val="28"/>
          <w:szCs w:val="28"/>
        </w:rPr>
        <w:t>isting ones.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Young Aussies are keen to stay online. Some spy a challenge, says Ishana, as under‑16s “want to use social media more because it’s banned”. The young “know how to outsmart the system”, she explains, including by creating joint accounts with friends, which she thinks confuses age‑checking systems. Yet she says several accounts with her real date of birth were not removed. Many under‑16s have made new accounts using a fake age. Others have entered their parents’ or siblings’ details.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Some blame tech firms for not enforcing the rules. KJR, a software‑testing company, recently opened 50 social‑media accounts in Australia claiming the user to be 16. It said only one site did any verification and all 50 accounts remained active. The government is trying to beef up its rules, including by doubling fines on offending firms to A$99m ($71m). It also wants to give Australia’s eSafety Commissioner power to make social‑media firms hand over internal‑usage data.</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Others blame the policy’s ineffectiveness so far partly on the technology meant to enforce it. Firms are using various tools, including AI, to analyse posts and scan faces. But facial‑age estimation software is not very accurate in distinguishing between, say, a 15‑ and 16‑year‑old. Lucina, a 15‑year‑old from the state of Victoria, says her face was scanned on Snapchat and she was told she looked 18. “The policy hasn’t been tested because it’s been technically impossible to enforce,” says Tama Leaver of Cur</w:t>
      </w:r>
      <w:r>
        <w:rPr>
          <w:rFonts w:hint="eastAsia" w:ascii="Times New Roman" w:hAnsi="Times New Roman" w:cs="Times New Roman"/>
          <w:sz w:val="28"/>
          <w:szCs w:val="28"/>
        </w:rPr>
        <w:t>tin University in Perth.</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Mr Leaver thinks other countries planning similar laws are concluding that the “only way to do this is to require people’s real IDs”—ie, an official digital or physical identity card—when they sign up to social media. Malaysia, one of just a few other coun</w:t>
      </w:r>
      <w:r>
        <w:rPr>
          <w:rFonts w:ascii="Times New Roman" w:hAnsi="Times New Roman" w:cs="Times New Roman"/>
          <w:sz w:val="28"/>
          <w:szCs w:val="28"/>
        </w:rPr>
        <w:t>tries where Australian‑style restrictions are in force, has opted for this method. L.S. Leonard, the chief legal counsel of Malaysia’s Communications and Multimedia Commission, the regulator, says that its assessment indicated that this would be “much more accurate” than the age‑assurance approach used in Australia.</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Yet things are not going to plan in Malaysia either. Mr Leonard says social‑media platforms claim to have removed lots of under‑age accounts, according to their own guidelines. But nothing has changed for most users, says Tricia Yeoh of the University of Nottingham’s Malaysian branch. Mr Leonard says platforms have asked for time to “make their system adaptable” for age verification; he expects everything “to be resolved” by January, after which non‑compliers may be fined. Ms Yeoh, however, suspects platfor</w:t>
      </w:r>
      <w:r>
        <w:rPr>
          <w:rFonts w:hint="eastAsia" w:ascii="Times New Roman" w:hAnsi="Times New Roman" w:cs="Times New Roman"/>
          <w:sz w:val="28"/>
          <w:szCs w:val="28"/>
        </w:rPr>
        <w:t>ms are worried about the risks of storing personal IDs on systems that could be hacked, or subject to requests from governments.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Some oppose blunt social‑media bans like Australia’s because they think they let platforms get away with not making their sites safe. Ways to incentivise firms to do so are being contemplated. Canada plans to ban platforms from allowing under‑16s to have social‑media accounts, but only until these apps meet a set of safety criteria. And there are hopes that Meta, after introducing limits for teens in most American states, will roll the same features out elsewhere, and that other social‑media firms will foll</w:t>
      </w:r>
      <w:r>
        <w:rPr>
          <w:rFonts w:hint="eastAsia" w:ascii="Times New Roman" w:hAnsi="Times New Roman" w:cs="Times New Roman"/>
          <w:sz w:val="28"/>
          <w:szCs w:val="28"/>
        </w:rPr>
        <w:t>ow suit.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【Para.10】</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Young Australians think they deserve more credit: Ms Naidu’s 14‑year‑old son says many teenagers already “know how to be safe online”. He stays off X, for example, because it is “very unfiltered”. He prefers Reddit, which is “less unhinged”.</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5TH-11TH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Asia</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931</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9.11</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Patronise me. Please</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Museums and galleries are turning to individual patrons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One name gets top billing at the Bayeux tapestry show at the British Museum, and it’s not William the Conqueror. It is Igor Tulchinsky, the boss of WorldQuant, an asset‑management firm. He is the only listed sponsor, so the blockbuster show is “presented b</w:t>
      </w:r>
      <w:r>
        <w:rPr>
          <w:rFonts w:hint="eastAsia" w:ascii="Times New Roman" w:hAnsi="Times New Roman" w:cs="Times New Roman"/>
          <w:sz w:val="28"/>
          <w:szCs w:val="28"/>
        </w:rPr>
        <w:t>y” him. He reportedly stumped up £5m ($6.8m).</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In Britain individual patrons are in. At museums and art galleries, their names are increasingly visible. Whereas high culture in continental Europe is still largely state‑funded, Britain is moving closer to the American model of private support for creato</w:t>
      </w:r>
      <w:r>
        <w:rPr>
          <w:rFonts w:hint="eastAsia" w:ascii="Times New Roman" w:hAnsi="Times New Roman" w:cs="Times New Roman"/>
          <w:sz w:val="28"/>
          <w:szCs w:val="28"/>
        </w:rPr>
        <w:t>rs and curators.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Patrons’ rise partly reflects a squeeze on public funding. Tate, a group of galleries, received £56m in 2009‑10 and £54m in 2024‑25: a fall of about a third in real terms. The British government urges museums to foster a “culture of giving”, like their Ame</w:t>
      </w:r>
      <w:r>
        <w:rPr>
          <w:rFonts w:hint="eastAsia" w:ascii="Times New Roman" w:hAnsi="Times New Roman" w:cs="Times New Roman"/>
          <w:sz w:val="28"/>
          <w:szCs w:val="28"/>
        </w:rPr>
        <w:t>rican peers. Museums—particularly those with free admission—have had to up their fundraising game.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 xml:space="preserve">Individual donors are also, to some extent, replacing corporate sponsors. Research by Arts and Business, a charity, found that corporate backing for culture in Britain fell for four straight years after 2007, when the global financial crisis began. And as </w:t>
      </w:r>
      <w:r>
        <w:rPr>
          <w:rFonts w:ascii="Times New Roman" w:hAnsi="Times New Roman" w:cs="Times New Roman"/>
          <w:sz w:val="28"/>
          <w:szCs w:val="28"/>
        </w:rPr>
        <w:t>anti‑corporate protests grow bolder, such sponsorship is more likely to bring bad publicity for donor and recipient alike. BP, an oil firm, was once a prominent sponsor of culture in Britain. But museums and galleries, being open to the public, are soft targets for activists, who have tarred and feathered the entrance to the Tate (using a non‑toxic tar substitute) and posted a spoof exhibit at the British Museum on plans to drill for oil under Stonehenge.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ascii="Times New Roman" w:hAnsi="Times New Roman" w:cs="Times New Roman"/>
          <w:sz w:val="28"/>
          <w:szCs w:val="28"/>
        </w:rPr>
        <w:t>All of which has made private patrons more appealing. Big institutions have brought in specialists to woo them. In 2024‑25, 15 national museums in Britain brought in £1.2bn through fundraising—three times their haul in 2023‑24. Most are screening donors mo</w:t>
      </w:r>
      <w:r>
        <w:rPr>
          <w:rFonts w:hint="eastAsia" w:ascii="Times New Roman" w:hAnsi="Times New Roman" w:cs="Times New Roman"/>
          <w:sz w:val="28"/>
          <w:szCs w:val="28"/>
        </w:rPr>
        <w:t>re carefully, too. The National Gallery has a committee to investigate “ethical and reputational issues” associated with gifts.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Patrons enjoy all kinds of benefits. Their donations can sometimes attract tax breaks. Being associated with a prestigious museum confers status, which some rich people apparently crave. And many donors simply love the arts and are happy to bankroll them.</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Many are eager to support specific causes they hold dear, says Clarissa Levi, an art lawyer. Mr Tulchinsky has said that the “symmetries and proportions” in the Bayeux tapestry appeal to his quantitative sensibilities. However, he was impelled to support t</w:t>
      </w:r>
      <w:r>
        <w:rPr>
          <w:rFonts w:ascii="Times New Roman" w:hAnsi="Times New Roman" w:cs="Times New Roman"/>
          <w:sz w:val="28"/>
          <w:szCs w:val="28"/>
        </w:rPr>
        <w:t>he exhibition by his belief in the importance of education, shaped by his own experience of moving to America from Soviet Belarus as a child. His donation will pay for learning materials for schools in the hope that “bringing young people face‑to‑face with</w:t>
      </w:r>
      <w:r>
        <w:rPr>
          <w:rFonts w:hint="eastAsia" w:ascii="Times New Roman" w:hAnsi="Times New Roman" w:cs="Times New Roman"/>
          <w:sz w:val="28"/>
          <w:szCs w:val="28"/>
        </w:rPr>
        <w:t xml:space="preserve"> this extraordinary artefact will create a lasting impact.”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There can be drawbacks to relying on philanthropists. Being human, they may be fickle or bossy. The National Gallery says it relies on private support to help fund “several senior curatorial posts”, among other things. Pushy billionaire donors might withdraw support for curators they do not like or try to have shows they disagree with axed.</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The history of art is full of overweening patrons. Michelangelo had to deal with one who, being pope, thought he was infallible, which was annoying. But the great advantage of rich individuals is that, by contrast with governments, there are plenty to choose from.</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5TH-11TH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Culture</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601</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val="zh-TW"/>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u w:color="333333"/>
          <w:shd w:val="clear" w:color="auto" w:fill="FFFFFF"/>
          <w:lang w:eastAsia="zh-CN"/>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9.12</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Well Informed</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How to combine exercise with video games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Exercising can be tedious. Video games are fun. What if you could combine them? Playing games while wearing a virtual-reality (VR) headset, with a motion-sensitive controller in each hand, can be taxing. “Pistol Whip” makes you step from side to side and squat frequently as you gun down foes and dodge bullets. “The Thrill of the Fight” is a virtual boxing game that works up a real sweat. In “Supernatural” and “Beat Saber” you punch and slice moving targets in time to pumping music. But does any of this count as proper exercise?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answer is yes, though with caveats. One way to evaluate VR exercise is a measure called metabolic equivalent of task (MET). Someone at rest expends about one MET. Walking is three METs. Playing football, ten. Anything over six METs is considered “vigorous” exercise. Researchers at San Francisco State University determined that playing “The Thrill of the Fight” (which is, in fact, exhausting) was a 9.3 MET activity. Other work, published in JMIR Serious Games, found the “Flow” and “Boxing” modes in “Supernatural” also counted as vigorous exercise, at around eight METs.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In yet another study, published in Games for Health Journal in 2024, participants played a sedentary video game, two VR games, and walked on a treadmill, each for ten minutes, while having their oxygen consumption measured. Playing “The Thrill of the Fight” was comparable in aerobic intensity to walking on a treadmill, and raised heart rates by a similar amount.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So much for cardio. What about weight loss? Work published last year in Nature Medicine divided 227 adolescents into five groups: real table tennis, real football, virtual table tennis, virtual football and a control group. There was no significant difference in weight loss between the real and virtual groups. Members of both lost about 5kg after eight weeks. Those in the control group lost none.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But not all VR games are created equal. The variation in intensity between different games is greater than that between real and virtual exercise. The 2024 study, for example, found that “Beat Saber” counted as only light exercise (2-3 METs). And even vigorous games such as “The Thrill of the Fight” involve only arm movements and squats. Virtual objects cannot put up any real-world resistance, so VR games are no good for strength training.</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Researchers at the University of California, Los Angeles, got round this by augmenting a cable-resistance training machine with a VR headset running a tower-defence game (in which the player must protect a stronghold from waves of virtual enemies), so that pulldowns, deadlifts and other moves triggered different attacks. Two groups trained for four weeks, one with the VR add-on, the other without. Members of the VR group showed greater improvement in strength, endurance and peak leg power. And they perceived their exertion level to be lower than it actually was.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Several other projects have found the same thing. People exercising in VR consistently underestimate how hard they are working. They also find it more fun than conventional exercise. But does this make them more likely to keep doing it? The evidence is unclear. Beyond this research, VR-exercise studies are often small and do not use comparisons or controls that allow their effects to be assessed. All that said, you don’t need a trial to show that VR exercise is better than none.</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September 5TH-11TH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610</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9.13</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Recipe for trouble</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From protein to matcha, food fads spread faster than ever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Pigs were once the biggest consumers of whey, a byproduct of cheesemaking. Now farmers can scarcely afford it. Demand for whey concentrate, a common ingredient in gym shakes, has soared amid the craze for consuming more protein. Dairies have not scaled up cheese production to match. The price of whey protein thus rose fivefold in the three years to June, according to Vesper, a research firm. The great comeback of cottage cheese, which TikTok influencers also recommend for bulking up, has seen a similar shortage.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Both cases illustrate a new problem for the food-and-drinks industry. Online trends can build demand for ingredients faster than ever before, but farms and factories cannot scale production at the same speed. Firms are adapting by learning to anticipate trends and ride them out before consumers move on.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Food fads are hardly new. Pineapples were so coveted in Georgian England that rental shops opened peddling display fruits. Swiss fondue, a hit with Americans in the 1960s and 70s, resulted in millions of cheese-melting pots that now languish in cupboards. Today, though, social media spreads such trends across the world in weeks. When a video of a pistachio-pastry chocolate bar made in Dubai went viral on TikTok in 2023, it was viewed more than 100m times. Months later top chocolatiers were selling their own versions, straining global pistachio production.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Food and drinks are especially prone to going viral. Grass-green matcha or violet ube lattes make for pleasing Instagram snaps. They are also cheap enough to be accessible. Bought once, even a $19 strawberry from Japan won’t break the bank. Young buyers, who spend a good deal of their lives on social media, are also more inclined towards novelty, notes Dan Frommer, author of “The New Consumer”, a blog.</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Explosive demand has overwhelmed supply chains. Tencha leaves, which are used to make matcha, nearly tripled in price between 2024 and 2025 amid surging interest in the drink. The bushes from which they come require years to grow. Hot markets also attract chancers. Rocky Xu, a matcha seller in Los Angeles, says that when he ran out last year, he found that the market had become crowded with middlemen. The newcomers—mainly Japanese entrepreneurs hoping to mediate between farmers and foreign buyers—pushed up prices.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Food companies are trying to cope in several ways. Anticipating trends as early as possible allows them to lock in suppliers before rivals do. Starbucks, an American coffee chain, started offering matcha drinks in 2006, long before the matcha boom in the West. It popularised drinks with “popping pearls” in 2024, before bubble tea went mainstream. More recently it added a protein range to its coffees, which are now as popular as flat whites in Europe. Louise Direito, an executive at the chain, says that it has switched from relying on “small focus groups” to tracking “millions of customers shaping trends in real time” on the internet. “The challenge is knowing when to join the conversation, as well as when it’s too late,” she adds.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Collaborations also help. As spicy instant ramyeon noodles became all the rage in 2022, fast-food chains lined up to work with Fly by Jing, a trendy maker of chilli-oil. Shake Shack, a burger chain, built a whole chicken menu around it.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But not all fads are worth embracing. Starbucks’ olive-oil coffees were pulled from menus in America and Canada less than a year after their launch in 2024—amid complaints about laxative effects.</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5TH-11TH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Business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625</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eastAsiaTheme="minorEastAsia"/>
          <w:b/>
          <w:bCs/>
          <w:sz w:val="28"/>
          <w:szCs w:val="28"/>
          <w:lang w:val="en-US" w:eastAsia="zh-C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bookmarkStart w:id="2" w:name="_GoBack"/>
      <w:bookmarkEnd w:id="2"/>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Segoe Print"/>
    <w:panose1 w:val="00000000000000000000"/>
    <w:charset w:val="00"/>
    <w:family w:val="roman"/>
    <w:pitch w:val="default"/>
    <w:sig w:usb0="00000000" w:usb1="00000000" w:usb2="00000000" w:usb3="00000000" w:csb0="00000000" w:csb1="00000000"/>
  </w:font>
  <w:font w:name="Helvetica Neue">
    <w:altName w:val="Arial"/>
    <w:panose1 w:val="00000000000000000000"/>
    <w:charset w:val="00"/>
    <w:family w:val="auto"/>
    <w:pitch w:val="default"/>
    <w:sig w:usb0="00000000" w:usb1="00000000" w:usb2="0000001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C715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5562"/>
    <w:rsid w:val="001F1D68"/>
    <w:rsid w:val="001F2174"/>
    <w:rsid w:val="001F5BDE"/>
    <w:rsid w:val="00202343"/>
    <w:rsid w:val="002033F6"/>
    <w:rsid w:val="00210DFC"/>
    <w:rsid w:val="00220698"/>
    <w:rsid w:val="00222898"/>
    <w:rsid w:val="00230DA5"/>
    <w:rsid w:val="00241B65"/>
    <w:rsid w:val="00243540"/>
    <w:rsid w:val="0024455D"/>
    <w:rsid w:val="002529FD"/>
    <w:rsid w:val="00256647"/>
    <w:rsid w:val="00257485"/>
    <w:rsid w:val="00261C75"/>
    <w:rsid w:val="00270610"/>
    <w:rsid w:val="00270916"/>
    <w:rsid w:val="00273CC2"/>
    <w:rsid w:val="00277B33"/>
    <w:rsid w:val="0028168B"/>
    <w:rsid w:val="00281756"/>
    <w:rsid w:val="0029426C"/>
    <w:rsid w:val="00294B43"/>
    <w:rsid w:val="002B1035"/>
    <w:rsid w:val="002B4CFD"/>
    <w:rsid w:val="002B5B51"/>
    <w:rsid w:val="002C13F2"/>
    <w:rsid w:val="002C16B7"/>
    <w:rsid w:val="002E2450"/>
    <w:rsid w:val="002E4796"/>
    <w:rsid w:val="002E4990"/>
    <w:rsid w:val="00300465"/>
    <w:rsid w:val="00300D9B"/>
    <w:rsid w:val="003145CF"/>
    <w:rsid w:val="00327F6E"/>
    <w:rsid w:val="003357FA"/>
    <w:rsid w:val="00337B9C"/>
    <w:rsid w:val="003474BF"/>
    <w:rsid w:val="003538B4"/>
    <w:rsid w:val="00355447"/>
    <w:rsid w:val="00361A9D"/>
    <w:rsid w:val="00377153"/>
    <w:rsid w:val="00382F4D"/>
    <w:rsid w:val="00391E6E"/>
    <w:rsid w:val="00395A06"/>
    <w:rsid w:val="00395E92"/>
    <w:rsid w:val="0039614A"/>
    <w:rsid w:val="003A2E95"/>
    <w:rsid w:val="003A4ADA"/>
    <w:rsid w:val="003A6892"/>
    <w:rsid w:val="003B14A5"/>
    <w:rsid w:val="003B5659"/>
    <w:rsid w:val="003C25A4"/>
    <w:rsid w:val="003C476A"/>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500329"/>
    <w:rsid w:val="00513BAD"/>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4B22"/>
    <w:rsid w:val="00591323"/>
    <w:rsid w:val="005B7AAD"/>
    <w:rsid w:val="005C068D"/>
    <w:rsid w:val="005C0FE6"/>
    <w:rsid w:val="005C52A8"/>
    <w:rsid w:val="005C6489"/>
    <w:rsid w:val="005C7C75"/>
    <w:rsid w:val="005D3247"/>
    <w:rsid w:val="005E0EAF"/>
    <w:rsid w:val="005E43B6"/>
    <w:rsid w:val="005E49EF"/>
    <w:rsid w:val="005F5B12"/>
    <w:rsid w:val="005F6B8F"/>
    <w:rsid w:val="005F71A1"/>
    <w:rsid w:val="00610314"/>
    <w:rsid w:val="00615E1A"/>
    <w:rsid w:val="006170E7"/>
    <w:rsid w:val="00620FCD"/>
    <w:rsid w:val="00633FFF"/>
    <w:rsid w:val="006510F5"/>
    <w:rsid w:val="00653791"/>
    <w:rsid w:val="006612E5"/>
    <w:rsid w:val="00671265"/>
    <w:rsid w:val="0067212E"/>
    <w:rsid w:val="00687EDE"/>
    <w:rsid w:val="0069504D"/>
    <w:rsid w:val="0069642B"/>
    <w:rsid w:val="006A4EEA"/>
    <w:rsid w:val="006B1ED1"/>
    <w:rsid w:val="006B204C"/>
    <w:rsid w:val="006B3105"/>
    <w:rsid w:val="006B368C"/>
    <w:rsid w:val="006B4969"/>
    <w:rsid w:val="006B5F4F"/>
    <w:rsid w:val="006B615B"/>
    <w:rsid w:val="006B67EE"/>
    <w:rsid w:val="006C2256"/>
    <w:rsid w:val="006E3236"/>
    <w:rsid w:val="006E3E7C"/>
    <w:rsid w:val="006E60EF"/>
    <w:rsid w:val="006F6F0E"/>
    <w:rsid w:val="007000B5"/>
    <w:rsid w:val="0070356B"/>
    <w:rsid w:val="00705EF0"/>
    <w:rsid w:val="00723093"/>
    <w:rsid w:val="00726130"/>
    <w:rsid w:val="00733D23"/>
    <w:rsid w:val="007351D4"/>
    <w:rsid w:val="00741D29"/>
    <w:rsid w:val="0075027F"/>
    <w:rsid w:val="007510F8"/>
    <w:rsid w:val="00751436"/>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0508D"/>
    <w:rsid w:val="008224D3"/>
    <w:rsid w:val="00827539"/>
    <w:rsid w:val="008354CB"/>
    <w:rsid w:val="0083628D"/>
    <w:rsid w:val="00837157"/>
    <w:rsid w:val="00837D3F"/>
    <w:rsid w:val="00841B65"/>
    <w:rsid w:val="00845176"/>
    <w:rsid w:val="008455C5"/>
    <w:rsid w:val="008500BD"/>
    <w:rsid w:val="0086753B"/>
    <w:rsid w:val="0087355A"/>
    <w:rsid w:val="0087541F"/>
    <w:rsid w:val="00877DED"/>
    <w:rsid w:val="00877EA4"/>
    <w:rsid w:val="0089787E"/>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71427"/>
    <w:rsid w:val="00986D7F"/>
    <w:rsid w:val="00990449"/>
    <w:rsid w:val="009A3543"/>
    <w:rsid w:val="009A3EC9"/>
    <w:rsid w:val="009B07E4"/>
    <w:rsid w:val="009B72E3"/>
    <w:rsid w:val="009C4FFE"/>
    <w:rsid w:val="009D018B"/>
    <w:rsid w:val="009E4938"/>
    <w:rsid w:val="00A05BF4"/>
    <w:rsid w:val="00A11813"/>
    <w:rsid w:val="00A1491E"/>
    <w:rsid w:val="00A171B8"/>
    <w:rsid w:val="00A31482"/>
    <w:rsid w:val="00A448F6"/>
    <w:rsid w:val="00A50E16"/>
    <w:rsid w:val="00A521F7"/>
    <w:rsid w:val="00A532D2"/>
    <w:rsid w:val="00A57816"/>
    <w:rsid w:val="00A61DE6"/>
    <w:rsid w:val="00A66469"/>
    <w:rsid w:val="00A750FF"/>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C0449"/>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3EF9"/>
    <w:rsid w:val="00CE4D9E"/>
    <w:rsid w:val="00CE6B52"/>
    <w:rsid w:val="00CF66C6"/>
    <w:rsid w:val="00CF6F22"/>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42F14"/>
    <w:rsid w:val="00E470C9"/>
    <w:rsid w:val="00E54599"/>
    <w:rsid w:val="00E767D6"/>
    <w:rsid w:val="00E773E7"/>
    <w:rsid w:val="00E86BFB"/>
    <w:rsid w:val="00E90843"/>
    <w:rsid w:val="00E94CCA"/>
    <w:rsid w:val="00E9737B"/>
    <w:rsid w:val="00E97B2E"/>
    <w:rsid w:val="00EA1AC7"/>
    <w:rsid w:val="00EB6051"/>
    <w:rsid w:val="00EB7BC2"/>
    <w:rsid w:val="00EC3460"/>
    <w:rsid w:val="00ED408D"/>
    <w:rsid w:val="00EF108B"/>
    <w:rsid w:val="00EF122B"/>
    <w:rsid w:val="00F02BA9"/>
    <w:rsid w:val="00F22963"/>
    <w:rsid w:val="00F23DE2"/>
    <w:rsid w:val="00F35B2D"/>
    <w:rsid w:val="00F43E8E"/>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7D2C"/>
    <w:rsid w:val="02474E17"/>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3174D"/>
    <w:rsid w:val="0F7FD581"/>
    <w:rsid w:val="0F9F58AA"/>
    <w:rsid w:val="0FB37411"/>
    <w:rsid w:val="0FFF1C78"/>
    <w:rsid w:val="0FFF4D2E"/>
    <w:rsid w:val="0FFFA7A8"/>
    <w:rsid w:val="11FE23FE"/>
    <w:rsid w:val="127DFA1F"/>
    <w:rsid w:val="129B8469"/>
    <w:rsid w:val="133EC30B"/>
    <w:rsid w:val="133FB905"/>
    <w:rsid w:val="13FFA9E5"/>
    <w:rsid w:val="1564BA26"/>
    <w:rsid w:val="15EDA710"/>
    <w:rsid w:val="15EE6F16"/>
    <w:rsid w:val="15FD1ED8"/>
    <w:rsid w:val="15FD520A"/>
    <w:rsid w:val="16DF5FD3"/>
    <w:rsid w:val="16FB770D"/>
    <w:rsid w:val="16FFD038"/>
    <w:rsid w:val="174FC202"/>
    <w:rsid w:val="17EF64E5"/>
    <w:rsid w:val="17FF0555"/>
    <w:rsid w:val="19F54145"/>
    <w:rsid w:val="1B3D28E6"/>
    <w:rsid w:val="1B7F579D"/>
    <w:rsid w:val="1B9D479F"/>
    <w:rsid w:val="1BA88194"/>
    <w:rsid w:val="1BB9498B"/>
    <w:rsid w:val="1BBFAFD6"/>
    <w:rsid w:val="1BFDCF75"/>
    <w:rsid w:val="1BFFD357"/>
    <w:rsid w:val="1BFFFCAA"/>
    <w:rsid w:val="1C4526C3"/>
    <w:rsid w:val="1C8FC936"/>
    <w:rsid w:val="1CD7D6BD"/>
    <w:rsid w:val="1CFE9F7A"/>
    <w:rsid w:val="1CFF0BD2"/>
    <w:rsid w:val="1D497807"/>
    <w:rsid w:val="1D7DD281"/>
    <w:rsid w:val="1D7FFEA5"/>
    <w:rsid w:val="1DAF0203"/>
    <w:rsid w:val="1DCF2F6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FE0CAC"/>
    <w:rsid w:val="22A3071D"/>
    <w:rsid w:val="237FB98A"/>
    <w:rsid w:val="25EF52CD"/>
    <w:rsid w:val="25FBD824"/>
    <w:rsid w:val="26FD17B7"/>
    <w:rsid w:val="273A726C"/>
    <w:rsid w:val="276D54D7"/>
    <w:rsid w:val="27745B03"/>
    <w:rsid w:val="277B199F"/>
    <w:rsid w:val="27BB5A44"/>
    <w:rsid w:val="27DF9DD9"/>
    <w:rsid w:val="27EBCB70"/>
    <w:rsid w:val="27F77231"/>
    <w:rsid w:val="27FF28CB"/>
    <w:rsid w:val="28F351F3"/>
    <w:rsid w:val="296ECE31"/>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12B798D"/>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BFF27E"/>
    <w:rsid w:val="36C78C5D"/>
    <w:rsid w:val="36CB32BD"/>
    <w:rsid w:val="36CD7F34"/>
    <w:rsid w:val="36E6DC29"/>
    <w:rsid w:val="36F7E763"/>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1DB51EE"/>
    <w:rsid w:val="437C660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8171FE"/>
    <w:rsid w:val="48FDC3DE"/>
    <w:rsid w:val="49ABB3D7"/>
    <w:rsid w:val="49DF02E2"/>
    <w:rsid w:val="4AB16A5A"/>
    <w:rsid w:val="4AFDC7D0"/>
    <w:rsid w:val="4AFF055D"/>
    <w:rsid w:val="4B7D5655"/>
    <w:rsid w:val="4B8FDF68"/>
    <w:rsid w:val="4BEF1F7D"/>
    <w:rsid w:val="4BF3911E"/>
    <w:rsid w:val="4BF5F7FA"/>
    <w:rsid w:val="4BFCF108"/>
    <w:rsid w:val="4C0E9BE6"/>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B361A"/>
    <w:rsid w:val="4EFF01D9"/>
    <w:rsid w:val="4EFFE0C7"/>
    <w:rsid w:val="4F33B5ED"/>
    <w:rsid w:val="4F3772F1"/>
    <w:rsid w:val="4F4F2E9D"/>
    <w:rsid w:val="4F5CEE64"/>
    <w:rsid w:val="4F7E6940"/>
    <w:rsid w:val="4F7F3498"/>
    <w:rsid w:val="4F9D230C"/>
    <w:rsid w:val="4FA551CC"/>
    <w:rsid w:val="4FBFEDB6"/>
    <w:rsid w:val="4FC7FD95"/>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57776E"/>
    <w:rsid w:val="51FE6A9C"/>
    <w:rsid w:val="521BE836"/>
    <w:rsid w:val="533E99BD"/>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726C7"/>
    <w:rsid w:val="66F7FC67"/>
    <w:rsid w:val="6713235F"/>
    <w:rsid w:val="672D26EB"/>
    <w:rsid w:val="674FFB47"/>
    <w:rsid w:val="6767E558"/>
    <w:rsid w:val="6777CC14"/>
    <w:rsid w:val="6779C251"/>
    <w:rsid w:val="677EF20D"/>
    <w:rsid w:val="6795389F"/>
    <w:rsid w:val="67A71DF8"/>
    <w:rsid w:val="67B77BC7"/>
    <w:rsid w:val="67BF00A5"/>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15B09C7"/>
    <w:rsid w:val="717CA1C2"/>
    <w:rsid w:val="718B2FAE"/>
    <w:rsid w:val="718B3027"/>
    <w:rsid w:val="71BFBE04"/>
    <w:rsid w:val="71FBE2BD"/>
    <w:rsid w:val="71FF2F4C"/>
    <w:rsid w:val="726A0593"/>
    <w:rsid w:val="72DE1BD2"/>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BDC86-0A8B-4E17-82D2-CFFD4688664A}">
  <ds:schemaRefs/>
</ds:datastoreItem>
</file>

<file path=docProps/app.xml><?xml version="1.0" encoding="utf-8"?>
<Properties xmlns="http://schemas.openxmlformats.org/officeDocument/2006/extended-properties" xmlns:vt="http://schemas.openxmlformats.org/officeDocument/2006/docPropsVTypes">
  <Template>Normal</Template>
  <Pages>34</Pages>
  <Words>5546</Words>
  <Characters>25147</Characters>
  <Lines>328</Lines>
  <Paragraphs>125</Paragraphs>
  <TotalTime>19</TotalTime>
  <ScaleCrop>false</ScaleCrop>
  <LinksUpToDate>false</LinksUpToDate>
  <CharactersWithSpaces>29743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2026-09-02T13:55:00Z</dcterms:created>
  <dcterms:modified xsi:type="dcterms:W3CDTF">2026-09-06T00:55:58Z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808AE7B37B9C43FC8211B2D41C03196B_12</vt:lpwstr>
  </property>
</Properties>
</file>