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EE6AB">
      <w:pPr>
        <w:keepNext/>
        <w:spacing w:before="200" w:after="120"/>
      </w:pPr>
      <w:r>
        <w:rPr>
          <w:rFonts w:ascii="Times New Roman" w:hAnsi="Times New Roman" w:eastAsia="微软雅黑"/>
          <w:b/>
          <w:color w:val="000000"/>
          <w:sz w:val="26"/>
        </w:rPr>
        <w:t>Part B</w:t>
      </w:r>
    </w:p>
    <w:p w14:paraId="6606AC9C">
      <w:pPr>
        <w:spacing w:after="60" w:line="276" w:lineRule="auto"/>
      </w:pPr>
      <w:r>
        <w:rPr>
          <w:rFonts w:ascii="Times New Roman" w:hAnsi="Times New Roman" w:eastAsia="微软雅黑"/>
          <w:b/>
          <w:color w:val="000000"/>
          <w:sz w:val="21"/>
        </w:rPr>
        <w:t>Directions:</w:t>
      </w:r>
    </w:p>
    <w:p w14:paraId="5F421361">
      <w:pPr>
        <w:spacing w:after="240" w:line="276" w:lineRule="auto"/>
      </w:pPr>
      <w:r>
        <w:rPr>
          <w:rFonts w:ascii="Times New Roman" w:hAnsi="Times New Roman" w:eastAsia="微软雅黑"/>
          <w:b w:val="0"/>
          <w:color w:val="000000"/>
          <w:sz w:val="21"/>
        </w:rPr>
        <w:t>In the following text, some sentences have been removed. For Questions 41-45, choose the most suitable one from the list A-G to fit into each of the numbered blanks. There are two extra choices, which do not fit in any of the blanks. Mark your answers on the ANSWER SHEET. (10 points)</w:t>
      </w:r>
    </w:p>
    <w:p w14:paraId="2138AA69">
      <w:pPr>
        <w:spacing w:after="200" w:line="283" w:lineRule="auto"/>
      </w:pPr>
      <w:r>
        <w:rPr>
          <w:rFonts w:ascii="Times New Roman" w:hAnsi="Times New Roman" w:eastAsia="微软雅黑"/>
          <w:b w:val="0"/>
          <w:color w:val="000000"/>
          <w:sz w:val="21"/>
        </w:rPr>
        <w:t xml:space="preserve">Schools and councils in England are expecting the proportion of children with special needs plans to double to one in 10, as families rush to secure support before changes come in. </w:t>
      </w:r>
      <w:r>
        <w:rPr>
          <w:rFonts w:ascii="Times New Roman" w:hAnsi="Times New Roman" w:eastAsia="微软雅黑"/>
          <w:b/>
          <w:color w:val="000000"/>
          <w:sz w:val="21"/>
        </w:rPr>
        <w:t>(41)</w:t>
      </w:r>
      <w:r>
        <w:rPr>
          <w:rFonts w:ascii="Times New Roman" w:hAnsi="Times New Roman" w:eastAsia="微软雅黑"/>
          <w:b w:val="0"/>
          <w:color w:val="000000"/>
          <w:sz w:val="21"/>
        </w:rPr>
        <w:t xml:space="preserve"> In 2025, just one in 20 school-age children had EHCPs.</w:t>
      </w:r>
    </w:p>
    <w:p w14:paraId="2CD3E7B6">
      <w:pPr>
        <w:spacing w:after="200" w:line="283" w:lineRule="auto"/>
      </w:pPr>
      <w:r>
        <w:rPr>
          <w:rFonts w:ascii="Times New Roman" w:hAnsi="Times New Roman" w:eastAsia="微软雅黑"/>
          <w:b w:val="0"/>
          <w:color w:val="000000"/>
          <w:sz w:val="21"/>
        </w:rPr>
        <w:t xml:space="preserve">The number of pupils with EHCPs has risen by more than 11% in each of the last two years. </w:t>
      </w:r>
      <w:r>
        <w:rPr>
          <w:rFonts w:ascii="Times New Roman" w:hAnsi="Times New Roman" w:eastAsia="微软雅黑"/>
          <w:b/>
          <w:color w:val="000000"/>
          <w:sz w:val="21"/>
        </w:rPr>
        <w:t>(42)</w:t>
      </w:r>
      <w:r>
        <w:rPr>
          <w:rFonts w:ascii="Times New Roman" w:hAnsi="Times New Roman" w:eastAsia="微软雅黑"/>
          <w:b w:val="0"/>
          <w:color w:val="000000"/>
          <w:sz w:val="21"/>
        </w:rPr>
        <w:t xml:space="preserve"> Similar levels nationally would translate to almost 10% of all school-age children having an EHCP in 2029.</w:t>
      </w:r>
    </w:p>
    <w:p w14:paraId="68607442">
      <w:pPr>
        <w:spacing w:after="200" w:line="283" w:lineRule="auto"/>
      </w:pPr>
      <w:r>
        <w:rPr>
          <w:rFonts w:ascii="Times New Roman" w:hAnsi="Times New Roman" w:eastAsia="微软雅黑"/>
          <w:b w:val="0"/>
          <w:color w:val="000000"/>
          <w:sz w:val="21"/>
        </w:rPr>
        <w:t xml:space="preserve">Such a rapid rise would outstrip the government’s own forecasts and eat into funding for improving specialist support in mainstream schools, undermining plans for reform while straining school and council budgets. </w:t>
      </w:r>
      <w:r>
        <w:rPr>
          <w:rFonts w:ascii="Times New Roman" w:hAnsi="Times New Roman" w:eastAsia="微软雅黑"/>
          <w:b/>
          <w:color w:val="000000"/>
          <w:sz w:val="21"/>
        </w:rPr>
        <w:t>(43)</w:t>
      </w:r>
    </w:p>
    <w:p w14:paraId="5B184906">
      <w:pPr>
        <w:spacing w:after="200" w:line="283" w:lineRule="auto"/>
      </w:pPr>
      <w:r>
        <w:rPr>
          <w:rFonts w:ascii="Times New Roman" w:hAnsi="Times New Roman" w:eastAsia="微软雅黑"/>
          <w:b w:val="0"/>
          <w:color w:val="000000"/>
          <w:sz w:val="21"/>
        </w:rPr>
        <w:t>EHCPs are legal documents agreed between local authorities and families in England detailing the support required for children and young people up to the age of 25, allowing access to extra funding or places in special schools. While more than 530,000 school-age children have EHCPs, an additional 1.3 million have identified special needs, according to official data.</w:t>
      </w:r>
    </w:p>
    <w:p w14:paraId="516FECE0">
      <w:pPr>
        <w:spacing w:after="200" w:line="283" w:lineRule="auto"/>
      </w:pPr>
      <w:r>
        <w:rPr>
          <w:rFonts w:ascii="Times New Roman" w:hAnsi="Times New Roman" w:eastAsia="微软雅黑"/>
          <w:b w:val="0"/>
          <w:color w:val="000000"/>
          <w:sz w:val="21"/>
        </w:rPr>
        <w:t xml:space="preserve">The costs are met out of local authority high needs budgets but the huge growth in EHCPs has led to councils amassing sustained deficits, requiring a statutory override granted by central government to avoid many becoming technically bankrupt. </w:t>
      </w:r>
      <w:r>
        <w:rPr>
          <w:rFonts w:ascii="Times New Roman" w:hAnsi="Times New Roman" w:eastAsia="微软雅黑"/>
          <w:b/>
          <w:color w:val="000000"/>
          <w:sz w:val="21"/>
        </w:rPr>
        <w:t>(44)</w:t>
      </w:r>
    </w:p>
    <w:p w14:paraId="3A46EA4F">
      <w:pPr>
        <w:spacing w:after="200" w:line="283" w:lineRule="auto"/>
      </w:pPr>
      <w:r>
        <w:rPr>
          <w:rFonts w:ascii="Times New Roman" w:hAnsi="Times New Roman" w:eastAsia="微软雅黑"/>
          <w:b w:val="0"/>
          <w:color w:val="000000"/>
          <w:sz w:val="21"/>
        </w:rPr>
        <w:t>The white paper’s timeline would result in more children with individual support plans alongside increased support in mainstream schools; while EHCPs would be designed for those with more profound needs and disabilities from 2030.</w:t>
      </w:r>
    </w:p>
    <w:p w14:paraId="4DFBB023">
      <w:pPr>
        <w:spacing w:after="200" w:line="283" w:lineRule="auto"/>
      </w:pPr>
      <w:r>
        <w:rPr>
          <w:rFonts w:ascii="Times New Roman" w:hAnsi="Times New Roman" w:eastAsia="微软雅黑"/>
          <w:b w:val="0"/>
          <w:color w:val="000000"/>
          <w:sz w:val="21"/>
        </w:rPr>
        <w:t>During a visit to Thomas Lord Audley secondary school in Colchester, Gould said parts of the planned changes would begin operating this year, including the government’s new “experts in hand” scheme that puts specialists directly into mainstream schools and nurseries. “I’ve spoken to parents around the country, and lots of families and children have been really let down by the system,” Gould said. “So they are really concerned, and any change can feel worrying for those families.”</w:t>
      </w:r>
    </w:p>
    <w:p w14:paraId="2B57734C">
      <w:pPr>
        <w:spacing w:after="200" w:line="283" w:lineRule="auto"/>
      </w:pPr>
      <w:r>
        <w:rPr>
          <w:rFonts w:ascii="Times New Roman" w:hAnsi="Times New Roman" w:eastAsia="微软雅黑"/>
          <w:b w:val="0"/>
          <w:color w:val="000000"/>
          <w:sz w:val="21"/>
        </w:rPr>
        <w:t xml:space="preserve">Paul Whiteman, the general secretary of the National Association of Head Teachers, said the reports of increases in EHCPs chimed with “what we hear from school leaders”. </w:t>
      </w:r>
      <w:r>
        <w:rPr>
          <w:rFonts w:ascii="Times New Roman" w:hAnsi="Times New Roman" w:eastAsia="微软雅黑"/>
          <w:b/>
          <w:color w:val="000000"/>
          <w:sz w:val="21"/>
        </w:rPr>
        <w:t>(45)</w:t>
      </w:r>
    </w:p>
    <w:p w14:paraId="1C15E4E7">
      <w:pPr>
        <w:spacing w:after="200" w:line="283" w:lineRule="auto"/>
      </w:pPr>
      <w:r>
        <w:rPr>
          <w:rFonts w:ascii="Times New Roman" w:hAnsi="Times New Roman" w:eastAsia="微软雅黑"/>
          <w:b w:val="0"/>
          <w:color w:val="000000"/>
          <w:sz w:val="21"/>
        </w:rPr>
        <w:t>The surge in applications has led some local authorities to dramatically raise their own forecasts. A report by Hampshire council in July showed applications so far this year were at record levels and forecast a 58% rise in EHCPs between 2026 and 2030. Manchester council is also anticipating a 40% increase in school-age children with EHCPs by 2029.</w:t>
      </w:r>
    </w:p>
    <w:p w14:paraId="51D1111F">
      <w:r>
        <w:br w:type="page"/>
      </w:r>
    </w:p>
    <w:p w14:paraId="32106B34">
      <w:pPr>
        <w:spacing w:after="80" w:line="276" w:lineRule="auto"/>
      </w:pPr>
      <w:r>
        <w:rPr>
          <w:rFonts w:ascii="Times New Roman" w:hAnsi="Times New Roman" w:eastAsia="微软雅黑"/>
          <w:b/>
          <w:color w:val="000000"/>
          <w:sz w:val="21"/>
        </w:rPr>
        <w:t>Questions:</w:t>
      </w:r>
    </w:p>
    <w:p w14:paraId="5065D8C8">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School leaders said special educational needs (Send) coordinators had worked through the summer to deal with the influx of requests for assessments, as secondary schools reported that many more year 7 students were arriving with EHCPs or applications.</w:t>
      </w:r>
    </w:p>
    <w:p w14:paraId="68090423">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Whiteman said: “While it is hard to give a definitive reason for why this is happening, it appears likely that the government’s plans to restrict future EHCPs to children with the most complex needs may have led to more families and schools applying before these changes kick in.”</w:t>
      </w:r>
    </w:p>
    <w:p w14:paraId="225F54D5">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Projections by local authorities seen by the Guardian are anticipating double-digit annual increases over the next three years.</w:t>
      </w:r>
    </w:p>
    <w:p w14:paraId="179552C5">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Headteachers have reported an “unreal” surge in applications for education, health and care plans (EHCPs) mandating support for needs or disabilities such as speech and learning difficulties, autism or ADHD.</w:t>
      </w:r>
    </w:p>
    <w:p w14:paraId="2D9965AC">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Some councils have stopped accepting new assessment requests until the final version of the reforms has been published.</w:t>
      </w:r>
    </w:p>
    <w:p w14:paraId="541BA7DC">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Under the planned changes, every child will automatically receive an EHCP while mainstream schools receive extra funding.</w:t>
      </w:r>
    </w:p>
    <w:p w14:paraId="2C02E10D">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Georgia Gould, the schools minister overseeing the changes, said the government was carefully considering the responses to its white paper, which aims to give children earlier diagnosis and intervention, and moderate the need for EHCPs.</w:t>
      </w:r>
    </w:p>
    <w:p w14:paraId="5DF8D2BA">
      <w:r>
        <w:br w:type="page"/>
      </w:r>
    </w:p>
    <w:p w14:paraId="075B89DA">
      <w:pPr>
        <w:keepNext/>
        <w:spacing w:before="280" w:after="120"/>
      </w:pPr>
      <w:r>
        <w:rPr>
          <w:rFonts w:ascii="Times New Roman" w:hAnsi="Times New Roman" w:eastAsia="微软雅黑"/>
          <w:b/>
          <w:color w:val="000000"/>
          <w:sz w:val="28"/>
        </w:rPr>
        <w:t>答案与解析</w:t>
      </w:r>
    </w:p>
    <w:p w14:paraId="4A450675">
      <w:pPr>
        <w:keepNext/>
        <w:spacing w:before="200" w:after="120"/>
      </w:pPr>
      <w:r>
        <w:rPr>
          <w:rFonts w:ascii="Times New Roman" w:hAnsi="Times New Roman" w:eastAsia="微软雅黑"/>
          <w:b/>
          <w:color w:val="000000"/>
          <w:sz w:val="24"/>
        </w:rPr>
        <w:t>答案速查</w:t>
      </w:r>
    </w:p>
    <w:p w14:paraId="46583A38">
      <w:pPr>
        <w:spacing w:after="200" w:line="276" w:lineRule="auto"/>
      </w:pPr>
      <w:r>
        <w:rPr>
          <w:rFonts w:ascii="Times New Roman" w:hAnsi="Times New Roman" w:eastAsia="微软雅黑"/>
          <w:b/>
          <w:color w:val="000000"/>
          <w:sz w:val="21"/>
        </w:rPr>
        <w:t>41. D    42. C    43. A    44. G    45. B</w:t>
      </w:r>
    </w:p>
    <w:p w14:paraId="5A7DF2AF">
      <w:pPr>
        <w:keepNext/>
        <w:spacing w:before="200" w:after="120"/>
      </w:pPr>
      <w:r>
        <w:rPr>
          <w:rFonts w:ascii="Times New Roman" w:hAnsi="Times New Roman" w:eastAsia="微软雅黑"/>
          <w:b/>
          <w:color w:val="000000"/>
          <w:sz w:val="24"/>
        </w:rPr>
        <w:t>文章与命题分析</w:t>
      </w:r>
    </w:p>
    <w:p w14:paraId="3675D321">
      <w:pPr>
        <w:spacing w:after="80" w:line="276" w:lineRule="auto"/>
      </w:pPr>
      <w:r>
        <w:rPr>
          <w:rFonts w:ascii="Times New Roman" w:hAnsi="Times New Roman" w:eastAsia="微软雅黑"/>
          <w:b w:val="0"/>
          <w:color w:val="000000"/>
          <w:sz w:val="21"/>
        </w:rPr>
        <w:t>文章主旨：英格兰学校和家庭正抢在政府改革前申请特殊教育支持计划（EHCP），导致申请量快速上升，地方财政与改革安排都受到压力。</w:t>
      </w:r>
    </w:p>
    <w:p w14:paraId="583CF2F5">
      <w:pPr>
        <w:spacing w:after="80" w:line="276" w:lineRule="auto"/>
      </w:pPr>
      <w:r>
        <w:rPr>
          <w:rFonts w:ascii="Times New Roman" w:hAnsi="Times New Roman" w:eastAsia="微软雅黑"/>
          <w:b w:val="0"/>
          <w:color w:val="000000"/>
          <w:sz w:val="21"/>
        </w:rPr>
        <w:t>结构脉络：申请潮现象与基础数据 → 未来预测 → 对学校、财政和改革的影响 → EHCP定义 → 部长回应与改革安排 → 校长协会解释原因 → 地方政府上调预测。</w:t>
      </w:r>
    </w:p>
    <w:p w14:paraId="405D2E4B">
      <w:pPr>
        <w:spacing w:after="80" w:line="276" w:lineRule="auto"/>
      </w:pPr>
      <w:r>
        <w:rPr>
          <w:rFonts w:ascii="Times New Roman" w:hAnsi="Times New Roman" w:eastAsia="微软雅黑"/>
          <w:b w:val="0"/>
          <w:color w:val="000000"/>
          <w:sz w:val="21"/>
        </w:rPr>
        <w:t>题型适配：文章存在明显的“现象—数据—影响—回应—原因”链。空格同时需要承接前句和开启后句，适合7选5。干扰项围绕程度扩大、条件缺失和逻辑方向设置。</w:t>
      </w:r>
    </w:p>
    <w:p w14:paraId="2B828C2B">
      <w:pPr>
        <w:spacing w:after="200" w:line="276" w:lineRule="auto"/>
      </w:pPr>
      <w:r>
        <w:rPr>
          <w:rFonts w:ascii="Times New Roman" w:hAnsi="Times New Roman" w:eastAsia="微软雅黑"/>
          <w:b w:val="0"/>
          <w:color w:val="000000"/>
          <w:sz w:val="21"/>
        </w:rPr>
        <w:t>解题入口：抓住 EHCP 的复现、“surge/increase/projection”的数据链，以及 government response 和 school leaders 的回应关系。</w:t>
      </w:r>
    </w:p>
    <w:p w14:paraId="7EDBACC6">
      <w:pPr>
        <w:keepNext/>
        <w:spacing w:before="200" w:after="120"/>
      </w:pPr>
      <w:r>
        <w:rPr>
          <w:rFonts w:ascii="Times New Roman" w:hAnsi="Times New Roman" w:eastAsia="微软雅黑"/>
          <w:b/>
          <w:color w:val="000000"/>
          <w:sz w:val="24"/>
        </w:rPr>
        <w:t>选项总览</w:t>
      </w:r>
    </w:p>
    <w:p w14:paraId="54D2A48F">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写学校协调员处理申请潮，是现象的现场落实。</w:t>
      </w:r>
    </w:p>
    <w:p w14:paraId="5869E9B2">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解释政府限制未来EHCP可能促使家庭提前申请，是原因回应。</w:t>
      </w:r>
    </w:p>
    <w:p w14:paraId="0894D327">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写地方机构对未来三年的预测，承接人数上升的数据。</w:t>
      </w:r>
    </w:p>
    <w:p w14:paraId="18FAFC6C">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写校长报告申请激增并界定EHCP，是首段现象的展开。</w:t>
      </w:r>
    </w:p>
    <w:p w14:paraId="1435425A">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虚构“停止接受申请”，与文中处理申请潮的方向矛盾。</w:t>
      </w:r>
    </w:p>
    <w:p w14:paraId="32121826">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把改革扩大为“每个孩子自动获得EHCP”，程度过强且不符合原文。</w:t>
      </w:r>
    </w:p>
    <w:p w14:paraId="4DDF87EF">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写学校部长回应白皮书改革，衔接财政压力后的政府回应。</w:t>
      </w:r>
    </w:p>
    <w:p w14:paraId="012DE22B">
      <w:pPr>
        <w:spacing w:after="120" w:line="276" w:lineRule="auto"/>
      </w:pPr>
    </w:p>
    <w:p w14:paraId="42EE9A84">
      <w:pPr>
        <w:keepNext/>
        <w:spacing w:before="200" w:after="120"/>
      </w:pPr>
      <w:r>
        <w:rPr>
          <w:rFonts w:ascii="Times New Roman" w:hAnsi="Times New Roman" w:eastAsia="微软雅黑"/>
          <w:b/>
          <w:color w:val="000000"/>
          <w:sz w:val="23"/>
        </w:rPr>
        <w:t>41.【答案】D</w:t>
      </w:r>
    </w:p>
    <w:p w14:paraId="4F39E35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第一段；空格位于“...before changes come in”与“In 2025…”之间。</w:t>
      </w:r>
    </w:p>
    <w:p w14:paraId="32B364C3">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前句说家庭抢在改革前申请支持，后句以“In 2025, just one in 20…”给出旧基数。【D】中的“surge in applications”直接落实前句的rush，并首次完整界定EHCP，使后句的one in 20 school-age children有明确所指。</w:t>
      </w:r>
    </w:p>
    <w:p w14:paraId="61A3CFC5">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3D94B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370D7F84">
            <w:pPr>
              <w:spacing w:after="40"/>
            </w:pPr>
            <w:r>
              <w:rPr>
                <w:rFonts w:ascii="Times New Roman" w:hAnsi="Times New Roman" w:eastAsia="微软雅黑"/>
                <w:b/>
                <w:color w:val="FFFFFF"/>
                <w:sz w:val="20"/>
              </w:rPr>
              <w:t>选项</w:t>
            </w:r>
          </w:p>
        </w:tc>
        <w:tc>
          <w:tcPr>
            <w:tcW w:w="1224" w:type="dxa"/>
            <w:shd w:val="clear" w:color="auto" w:fill="1F4E79"/>
          </w:tcPr>
          <w:p w14:paraId="5DB4D414">
            <w:pPr>
              <w:spacing w:after="40"/>
            </w:pPr>
            <w:r>
              <w:rPr>
                <w:rFonts w:ascii="Times New Roman" w:hAnsi="Times New Roman" w:eastAsia="微软雅黑"/>
                <w:b/>
                <w:color w:val="FFFFFF"/>
                <w:sz w:val="20"/>
              </w:rPr>
              <w:t>判断</w:t>
            </w:r>
          </w:p>
        </w:tc>
        <w:tc>
          <w:tcPr>
            <w:tcW w:w="7344" w:type="dxa"/>
            <w:shd w:val="clear" w:color="auto" w:fill="1F4E79"/>
          </w:tcPr>
          <w:p w14:paraId="0282E07E">
            <w:pPr>
              <w:spacing w:after="40"/>
            </w:pPr>
            <w:r>
              <w:rPr>
                <w:rFonts w:ascii="Times New Roman" w:hAnsi="Times New Roman" w:eastAsia="微软雅黑"/>
                <w:b/>
                <w:color w:val="FFFFFF"/>
                <w:sz w:val="20"/>
              </w:rPr>
              <w:t>理由</w:t>
            </w:r>
          </w:p>
        </w:tc>
      </w:tr>
      <w:tr w14:paraId="1A6827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2D5C070">
            <w:pPr>
              <w:spacing w:after="40" w:line="259" w:lineRule="auto"/>
            </w:pPr>
            <w:r>
              <w:rPr>
                <w:rFonts w:ascii="Times New Roman" w:hAnsi="Times New Roman" w:eastAsia="微软雅黑"/>
                <w:b w:val="0"/>
                <w:color w:val="000000"/>
                <w:sz w:val="19"/>
              </w:rPr>
              <w:t>A</w:t>
            </w:r>
          </w:p>
        </w:tc>
        <w:tc>
          <w:tcPr>
            <w:tcW w:w="1224" w:type="dxa"/>
          </w:tcPr>
          <w:p w14:paraId="36B19963">
            <w:pPr>
              <w:spacing w:after="40" w:line="259" w:lineRule="auto"/>
            </w:pPr>
            <w:r>
              <w:rPr>
                <w:rFonts w:ascii="Times New Roman" w:hAnsi="Times New Roman" w:eastAsia="微软雅黑"/>
                <w:b w:val="0"/>
                <w:color w:val="000000"/>
                <w:sz w:val="19"/>
              </w:rPr>
              <w:t>不能选</w:t>
            </w:r>
          </w:p>
        </w:tc>
        <w:tc>
          <w:tcPr>
            <w:tcW w:w="7344" w:type="dxa"/>
          </w:tcPr>
          <w:p w14:paraId="2290F413">
            <w:pPr>
              <w:spacing w:after="40" w:line="259" w:lineRule="auto"/>
            </w:pPr>
            <w:r>
              <w:rPr>
                <w:rFonts w:ascii="Times New Roman" w:hAnsi="Times New Roman" w:eastAsia="微软雅黑"/>
                <w:b w:val="0"/>
                <w:color w:val="000000"/>
                <w:sz w:val="19"/>
              </w:rPr>
              <w:t>学校处理申请的细节应出现在现象展开之后，不宜作首段的初次引入。</w:t>
            </w:r>
          </w:p>
        </w:tc>
      </w:tr>
      <w:tr w14:paraId="1D998CC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7239DC74">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38498F6C">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B1B3CC4">
            <w:pPr>
              <w:spacing w:after="40" w:line="259" w:lineRule="auto"/>
            </w:pPr>
            <w:r>
              <w:rPr>
                <w:rFonts w:ascii="Times New Roman" w:hAnsi="Times New Roman" w:eastAsia="微软雅黑"/>
                <w:b w:val="0"/>
                <w:color w:val="000000"/>
                <w:sz w:val="19"/>
              </w:rPr>
              <w:t>Whiteman对原因的解释适合文章后部，不能提前回应首段现象。</w:t>
            </w:r>
          </w:p>
        </w:tc>
      </w:tr>
      <w:tr w14:paraId="5B3F239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17CA0D6D">
            <w:pPr>
              <w:spacing w:after="40" w:line="259" w:lineRule="auto"/>
            </w:pPr>
            <w:r>
              <w:rPr>
                <w:rFonts w:ascii="Times New Roman" w:hAnsi="Times New Roman" w:eastAsia="微软雅黑"/>
                <w:b w:val="0"/>
                <w:color w:val="000000"/>
                <w:sz w:val="19"/>
              </w:rPr>
              <w:t>C</w:t>
            </w:r>
          </w:p>
        </w:tc>
        <w:tc>
          <w:tcPr>
            <w:tcW w:w="1224" w:type="dxa"/>
          </w:tcPr>
          <w:p w14:paraId="5EDA2952">
            <w:pPr>
              <w:spacing w:after="40" w:line="259" w:lineRule="auto"/>
            </w:pPr>
            <w:r>
              <w:rPr>
                <w:rFonts w:ascii="Times New Roman" w:hAnsi="Times New Roman" w:eastAsia="微软雅黑"/>
                <w:b w:val="0"/>
                <w:color w:val="000000"/>
                <w:sz w:val="19"/>
              </w:rPr>
              <w:t>不能选</w:t>
            </w:r>
          </w:p>
        </w:tc>
        <w:tc>
          <w:tcPr>
            <w:tcW w:w="7344" w:type="dxa"/>
          </w:tcPr>
          <w:p w14:paraId="190CD54E">
            <w:pPr>
              <w:spacing w:after="40" w:line="259" w:lineRule="auto"/>
            </w:pPr>
            <w:r>
              <w:rPr>
                <w:rFonts w:ascii="Times New Roman" w:hAnsi="Times New Roman" w:eastAsia="微软雅黑"/>
                <w:b w:val="0"/>
                <w:color w:val="000000"/>
                <w:sz w:val="19"/>
              </w:rPr>
              <w:t>未来预测需以当前上升事实为前提，且后句仍是2025年基数。</w:t>
            </w:r>
          </w:p>
        </w:tc>
      </w:tr>
      <w:tr w14:paraId="62BB13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31A42EE4">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6ACD2C81">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007FCD5F">
            <w:pPr>
              <w:spacing w:after="40" w:line="259" w:lineRule="auto"/>
            </w:pPr>
            <w:r>
              <w:rPr>
                <w:rFonts w:ascii="Times New Roman" w:hAnsi="Times New Roman" w:eastAsia="微软雅黑"/>
                <w:b w:val="0"/>
                <w:color w:val="000000"/>
                <w:sz w:val="19"/>
              </w:rPr>
              <w:t>由“rush”进入“surge”，并说明EHCP含义，衔接双向成立。</w:t>
            </w:r>
          </w:p>
        </w:tc>
      </w:tr>
      <w:tr w14:paraId="0BC610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0E482360">
            <w:pPr>
              <w:spacing w:after="40" w:line="259" w:lineRule="auto"/>
            </w:pPr>
            <w:r>
              <w:rPr>
                <w:rFonts w:ascii="Times New Roman" w:hAnsi="Times New Roman" w:eastAsia="微软雅黑"/>
                <w:b w:val="0"/>
                <w:color w:val="000000"/>
                <w:sz w:val="19"/>
              </w:rPr>
              <w:t>E</w:t>
            </w:r>
          </w:p>
        </w:tc>
        <w:tc>
          <w:tcPr>
            <w:tcW w:w="1224" w:type="dxa"/>
          </w:tcPr>
          <w:p w14:paraId="5095FD2F">
            <w:pPr>
              <w:spacing w:after="40" w:line="259" w:lineRule="auto"/>
            </w:pPr>
            <w:r>
              <w:rPr>
                <w:rFonts w:ascii="Times New Roman" w:hAnsi="Times New Roman" w:eastAsia="微软雅黑"/>
                <w:b w:val="0"/>
                <w:color w:val="000000"/>
                <w:sz w:val="19"/>
              </w:rPr>
              <w:t>不能选</w:t>
            </w:r>
          </w:p>
        </w:tc>
        <w:tc>
          <w:tcPr>
            <w:tcW w:w="7344" w:type="dxa"/>
          </w:tcPr>
          <w:p w14:paraId="5BCEF874">
            <w:pPr>
              <w:spacing w:after="40" w:line="259" w:lineRule="auto"/>
            </w:pPr>
            <w:r>
              <w:rPr>
                <w:rFonts w:ascii="Times New Roman" w:hAnsi="Times New Roman" w:eastAsia="微软雅黑"/>
                <w:b w:val="0"/>
                <w:color w:val="000000"/>
                <w:sz w:val="19"/>
              </w:rPr>
              <w:t>原文说 councils expecting和处理申请，不是停止接受申请。</w:t>
            </w:r>
          </w:p>
        </w:tc>
      </w:tr>
      <w:tr w14:paraId="2B16CD3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46860BA2">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499C9C7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BFF35AC">
            <w:pPr>
              <w:spacing w:after="40" w:line="259" w:lineRule="auto"/>
            </w:pPr>
            <w:r>
              <w:rPr>
                <w:rFonts w:ascii="Times New Roman" w:hAnsi="Times New Roman" w:eastAsia="微软雅黑"/>
                <w:b w:val="0"/>
                <w:color w:val="000000"/>
                <w:sz w:val="19"/>
              </w:rPr>
              <w:t>“every child automatically”程度绝对，且扭曲改革内容。</w:t>
            </w:r>
          </w:p>
        </w:tc>
      </w:tr>
      <w:tr w14:paraId="5938DD0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3BFCB3E">
            <w:pPr>
              <w:spacing w:after="40" w:line="259" w:lineRule="auto"/>
            </w:pPr>
            <w:r>
              <w:rPr>
                <w:rFonts w:ascii="Times New Roman" w:hAnsi="Times New Roman" w:eastAsia="微软雅黑"/>
                <w:b w:val="0"/>
                <w:color w:val="000000"/>
                <w:sz w:val="19"/>
              </w:rPr>
              <w:t>G</w:t>
            </w:r>
          </w:p>
        </w:tc>
        <w:tc>
          <w:tcPr>
            <w:tcW w:w="1224" w:type="dxa"/>
          </w:tcPr>
          <w:p w14:paraId="323CDE85">
            <w:pPr>
              <w:spacing w:after="40" w:line="259" w:lineRule="auto"/>
            </w:pPr>
            <w:r>
              <w:rPr>
                <w:rFonts w:ascii="Times New Roman" w:hAnsi="Times New Roman" w:eastAsia="微软雅黑"/>
                <w:b w:val="0"/>
                <w:color w:val="000000"/>
                <w:sz w:val="19"/>
              </w:rPr>
              <w:t>不能选</w:t>
            </w:r>
          </w:p>
        </w:tc>
        <w:tc>
          <w:tcPr>
            <w:tcW w:w="7344" w:type="dxa"/>
          </w:tcPr>
          <w:p w14:paraId="61DB42E1">
            <w:pPr>
              <w:spacing w:after="40" w:line="259" w:lineRule="auto"/>
            </w:pPr>
            <w:r>
              <w:rPr>
                <w:rFonts w:ascii="Times New Roman" w:hAnsi="Times New Roman" w:eastAsia="微软雅黑"/>
                <w:b w:val="0"/>
                <w:color w:val="000000"/>
                <w:sz w:val="19"/>
              </w:rPr>
              <w:t>部长回应出现在财政压力与白皮书语境之后。</w:t>
            </w:r>
          </w:p>
        </w:tc>
      </w:tr>
    </w:tbl>
    <w:p w14:paraId="193800FE">
      <w:pPr>
        <w:spacing w:after="160" w:line="276" w:lineRule="auto"/>
      </w:pPr>
    </w:p>
    <w:p w14:paraId="6E5A82E4">
      <w:pPr>
        <w:keepNext/>
        <w:spacing w:before="200" w:after="120"/>
      </w:pPr>
      <w:r>
        <w:rPr>
          <w:rFonts w:ascii="Times New Roman" w:hAnsi="Times New Roman" w:eastAsia="微软雅黑"/>
          <w:b/>
          <w:color w:val="000000"/>
          <w:sz w:val="23"/>
        </w:rPr>
        <w:t>42.【答案】C</w:t>
      </w:r>
    </w:p>
    <w:p w14:paraId="4E04098D">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第二段；空格位于“...last two years”与“Similar levels nationally…”之间。</w:t>
      </w:r>
    </w:p>
    <w:p w14:paraId="3E3C7752">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前句给出“risen by more than 11% in each of the last two years”的事实，【C】中的“Projections…over the next three years”把过去增长推进到未来预测。后句“Similar levels”正指代这种持续两位数增长所形成的全国水平。</w:t>
      </w:r>
    </w:p>
    <w:p w14:paraId="38E4748F">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4E4DAB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3147B7D5">
            <w:pPr>
              <w:spacing w:after="40"/>
            </w:pPr>
            <w:r>
              <w:rPr>
                <w:rFonts w:ascii="Times New Roman" w:hAnsi="Times New Roman" w:eastAsia="微软雅黑"/>
                <w:b/>
                <w:color w:val="FFFFFF"/>
                <w:sz w:val="20"/>
              </w:rPr>
              <w:t>选项</w:t>
            </w:r>
          </w:p>
        </w:tc>
        <w:tc>
          <w:tcPr>
            <w:tcW w:w="1224" w:type="dxa"/>
            <w:shd w:val="clear" w:color="auto" w:fill="1F4E79"/>
          </w:tcPr>
          <w:p w14:paraId="3E4CCF43">
            <w:pPr>
              <w:spacing w:after="40"/>
            </w:pPr>
            <w:r>
              <w:rPr>
                <w:rFonts w:ascii="Times New Roman" w:hAnsi="Times New Roman" w:eastAsia="微软雅黑"/>
                <w:b/>
                <w:color w:val="FFFFFF"/>
                <w:sz w:val="20"/>
              </w:rPr>
              <w:t>判断</w:t>
            </w:r>
          </w:p>
        </w:tc>
        <w:tc>
          <w:tcPr>
            <w:tcW w:w="7344" w:type="dxa"/>
            <w:shd w:val="clear" w:color="auto" w:fill="1F4E79"/>
          </w:tcPr>
          <w:p w14:paraId="7C282CA2">
            <w:pPr>
              <w:spacing w:after="40"/>
            </w:pPr>
            <w:r>
              <w:rPr>
                <w:rFonts w:ascii="Times New Roman" w:hAnsi="Times New Roman" w:eastAsia="微软雅黑"/>
                <w:b/>
                <w:color w:val="FFFFFF"/>
                <w:sz w:val="20"/>
              </w:rPr>
              <w:t>理由</w:t>
            </w:r>
          </w:p>
        </w:tc>
      </w:tr>
      <w:tr w14:paraId="372C0C0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29492F12">
            <w:pPr>
              <w:spacing w:after="40" w:line="259" w:lineRule="auto"/>
            </w:pPr>
            <w:r>
              <w:rPr>
                <w:rFonts w:ascii="Times New Roman" w:hAnsi="Times New Roman" w:eastAsia="微软雅黑"/>
                <w:b w:val="0"/>
                <w:color w:val="000000"/>
                <w:sz w:val="19"/>
              </w:rPr>
              <w:t>A</w:t>
            </w:r>
          </w:p>
        </w:tc>
        <w:tc>
          <w:tcPr>
            <w:tcW w:w="1224" w:type="dxa"/>
          </w:tcPr>
          <w:p w14:paraId="27EDDED5">
            <w:pPr>
              <w:spacing w:after="40" w:line="259" w:lineRule="auto"/>
            </w:pPr>
            <w:r>
              <w:rPr>
                <w:rFonts w:ascii="Times New Roman" w:hAnsi="Times New Roman" w:eastAsia="微软雅黑"/>
                <w:b w:val="0"/>
                <w:color w:val="000000"/>
                <w:sz w:val="19"/>
              </w:rPr>
              <w:t>不能选</w:t>
            </w:r>
          </w:p>
        </w:tc>
        <w:tc>
          <w:tcPr>
            <w:tcW w:w="7344" w:type="dxa"/>
          </w:tcPr>
          <w:p w14:paraId="5A00F501">
            <w:pPr>
              <w:spacing w:after="40" w:line="259" w:lineRule="auto"/>
            </w:pPr>
            <w:r>
              <w:rPr>
                <w:rFonts w:ascii="Times New Roman" w:hAnsi="Times New Roman" w:eastAsia="微软雅黑"/>
                <w:b w:val="0"/>
                <w:color w:val="000000"/>
                <w:sz w:val="19"/>
              </w:rPr>
              <w:t>申请评估现场与“Similar levels nationally”不构成数据推算关系。</w:t>
            </w:r>
          </w:p>
        </w:tc>
      </w:tr>
      <w:tr w14:paraId="054944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1198C6B1">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698D51D0">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EC33EE0">
            <w:pPr>
              <w:spacing w:after="40" w:line="259" w:lineRule="auto"/>
            </w:pPr>
            <w:r>
              <w:rPr>
                <w:rFonts w:ascii="Times New Roman" w:hAnsi="Times New Roman" w:eastAsia="微软雅黑"/>
                <w:b w:val="0"/>
                <w:color w:val="000000"/>
                <w:sz w:val="19"/>
              </w:rPr>
              <w:t>此处尚无政府限制改革的语境，原因解释为时过早。</w:t>
            </w:r>
          </w:p>
        </w:tc>
      </w:tr>
      <w:tr w14:paraId="54DF8D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7CA1EA4A">
            <w:pPr>
              <w:spacing w:after="40" w:line="259" w:lineRule="auto"/>
            </w:pPr>
            <w:r>
              <w:rPr>
                <w:rFonts w:ascii="Times New Roman" w:hAnsi="Times New Roman" w:eastAsia="微软雅黑"/>
                <w:b w:val="0"/>
                <w:color w:val="000000"/>
                <w:sz w:val="19"/>
              </w:rPr>
              <w:t>C</w:t>
            </w:r>
          </w:p>
        </w:tc>
        <w:tc>
          <w:tcPr>
            <w:tcW w:w="1224" w:type="dxa"/>
          </w:tcPr>
          <w:p w14:paraId="63AEF0EC">
            <w:pPr>
              <w:spacing w:after="40" w:line="259" w:lineRule="auto"/>
            </w:pPr>
            <w:r>
              <w:rPr>
                <w:rFonts w:ascii="Times New Roman" w:hAnsi="Times New Roman" w:eastAsia="微软雅黑"/>
                <w:b w:val="0"/>
                <w:color w:val="000000"/>
                <w:sz w:val="19"/>
              </w:rPr>
              <w:t>正确</w:t>
            </w:r>
          </w:p>
        </w:tc>
        <w:tc>
          <w:tcPr>
            <w:tcW w:w="7344" w:type="dxa"/>
          </w:tcPr>
          <w:p w14:paraId="647DE92E">
            <w:pPr>
              <w:spacing w:after="40" w:line="259" w:lineRule="auto"/>
            </w:pPr>
            <w:r>
              <w:rPr>
                <w:rFonts w:ascii="Times New Roman" w:hAnsi="Times New Roman" w:eastAsia="微软雅黑"/>
                <w:b w:val="0"/>
                <w:color w:val="000000"/>
                <w:sz w:val="19"/>
              </w:rPr>
              <w:t>连接“过去上升”和“未来水平”，满足数据链推进。</w:t>
            </w:r>
          </w:p>
        </w:tc>
      </w:tr>
      <w:tr w14:paraId="5B1C61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7E6093EC">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29DFB424">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E522FF8">
            <w:pPr>
              <w:spacing w:after="40" w:line="259" w:lineRule="auto"/>
            </w:pPr>
            <w:r>
              <w:rPr>
                <w:rFonts w:ascii="Times New Roman" w:hAnsi="Times New Roman" w:eastAsia="微软雅黑"/>
                <w:b w:val="0"/>
                <w:color w:val="000000"/>
                <w:sz w:val="19"/>
              </w:rPr>
              <w:t>首段已由【D】完成现象引入，不能重复。</w:t>
            </w:r>
          </w:p>
        </w:tc>
      </w:tr>
      <w:tr w14:paraId="7311E9B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6D3BCA9">
            <w:pPr>
              <w:spacing w:after="40" w:line="259" w:lineRule="auto"/>
            </w:pPr>
            <w:r>
              <w:rPr>
                <w:rFonts w:ascii="Times New Roman" w:hAnsi="Times New Roman" w:eastAsia="微软雅黑"/>
                <w:b w:val="0"/>
                <w:color w:val="000000"/>
                <w:sz w:val="19"/>
              </w:rPr>
              <w:t>E</w:t>
            </w:r>
          </w:p>
        </w:tc>
        <w:tc>
          <w:tcPr>
            <w:tcW w:w="1224" w:type="dxa"/>
          </w:tcPr>
          <w:p w14:paraId="543E78CD">
            <w:pPr>
              <w:spacing w:after="40" w:line="259" w:lineRule="auto"/>
            </w:pPr>
            <w:r>
              <w:rPr>
                <w:rFonts w:ascii="Times New Roman" w:hAnsi="Times New Roman" w:eastAsia="微软雅黑"/>
                <w:b w:val="0"/>
                <w:color w:val="000000"/>
                <w:sz w:val="19"/>
              </w:rPr>
              <w:t>不能选</w:t>
            </w:r>
          </w:p>
        </w:tc>
        <w:tc>
          <w:tcPr>
            <w:tcW w:w="7344" w:type="dxa"/>
          </w:tcPr>
          <w:p w14:paraId="6A4647B3">
            <w:pPr>
              <w:spacing w:after="40" w:line="259" w:lineRule="auto"/>
            </w:pPr>
            <w:r>
              <w:rPr>
                <w:rFonts w:ascii="Times New Roman" w:hAnsi="Times New Roman" w:eastAsia="微软雅黑"/>
                <w:b w:val="0"/>
                <w:color w:val="000000"/>
                <w:sz w:val="19"/>
              </w:rPr>
              <w:t>与地方机构继续预测和处理申请的事实相反。</w:t>
            </w:r>
          </w:p>
        </w:tc>
      </w:tr>
      <w:tr w14:paraId="5F6D4D0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0B213DA">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6B8E3F3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2B8CF39">
            <w:pPr>
              <w:spacing w:after="40" w:line="259" w:lineRule="auto"/>
            </w:pPr>
            <w:r>
              <w:rPr>
                <w:rFonts w:ascii="Times New Roman" w:hAnsi="Times New Roman" w:eastAsia="微软雅黑"/>
                <w:b w:val="0"/>
                <w:color w:val="000000"/>
                <w:sz w:val="19"/>
              </w:rPr>
              <w:t>白皮书没有提供“自动获得EHCP”的承诺。</w:t>
            </w:r>
          </w:p>
        </w:tc>
      </w:tr>
      <w:tr w14:paraId="063E1F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34559B4A">
            <w:pPr>
              <w:spacing w:after="40" w:line="259" w:lineRule="auto"/>
            </w:pPr>
            <w:r>
              <w:rPr>
                <w:rFonts w:ascii="Times New Roman" w:hAnsi="Times New Roman" w:eastAsia="微软雅黑"/>
                <w:b w:val="0"/>
                <w:color w:val="000000"/>
                <w:sz w:val="19"/>
              </w:rPr>
              <w:t>G</w:t>
            </w:r>
          </w:p>
        </w:tc>
        <w:tc>
          <w:tcPr>
            <w:tcW w:w="1224" w:type="dxa"/>
          </w:tcPr>
          <w:p w14:paraId="64F2A78C">
            <w:pPr>
              <w:spacing w:after="40" w:line="259" w:lineRule="auto"/>
            </w:pPr>
            <w:r>
              <w:rPr>
                <w:rFonts w:ascii="Times New Roman" w:hAnsi="Times New Roman" w:eastAsia="微软雅黑"/>
                <w:b w:val="0"/>
                <w:color w:val="000000"/>
                <w:sz w:val="19"/>
              </w:rPr>
              <w:t>不能选</w:t>
            </w:r>
          </w:p>
        </w:tc>
        <w:tc>
          <w:tcPr>
            <w:tcW w:w="7344" w:type="dxa"/>
          </w:tcPr>
          <w:p w14:paraId="5C53A9E8">
            <w:pPr>
              <w:spacing w:after="40" w:line="259" w:lineRule="auto"/>
            </w:pPr>
            <w:r>
              <w:rPr>
                <w:rFonts w:ascii="Times New Roman" w:hAnsi="Times New Roman" w:eastAsia="微软雅黑"/>
                <w:b w:val="0"/>
                <w:color w:val="000000"/>
                <w:sz w:val="19"/>
              </w:rPr>
              <w:t>部长回应应后置，不适合插入纯数据段。</w:t>
            </w:r>
          </w:p>
        </w:tc>
      </w:tr>
    </w:tbl>
    <w:p w14:paraId="4BB18B42">
      <w:pPr>
        <w:spacing w:after="160" w:line="276" w:lineRule="auto"/>
      </w:pPr>
    </w:p>
    <w:p w14:paraId="6EE38978">
      <w:pPr>
        <w:keepNext/>
        <w:spacing w:before="200" w:after="120"/>
      </w:pPr>
      <w:r>
        <w:rPr>
          <w:rFonts w:ascii="Times New Roman" w:hAnsi="Times New Roman" w:eastAsia="微软雅黑"/>
          <w:b/>
          <w:color w:val="000000"/>
          <w:sz w:val="23"/>
        </w:rPr>
        <w:t>43.【答案】A</w:t>
      </w:r>
    </w:p>
    <w:p w14:paraId="1DCA7CAD">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第三段；空格在段末。</w:t>
      </w:r>
    </w:p>
    <w:p w14:paraId="4691DCCC">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前句说快速上升会超出政府预测、挤占主流学校专项资金并加剧压力。【A】用“School leaders said…worked through the summer to deal with the influx…”从宏观影响落到学校执行层面，其中“influx of requests”与前句的“rapid rise”对应。</w:t>
      </w:r>
    </w:p>
    <w:p w14:paraId="3E5E6824">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1EF88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6838C7B6">
            <w:pPr>
              <w:spacing w:after="40"/>
            </w:pPr>
            <w:r>
              <w:rPr>
                <w:rFonts w:ascii="Times New Roman" w:hAnsi="Times New Roman" w:eastAsia="微软雅黑"/>
                <w:b/>
                <w:color w:val="FFFFFF"/>
                <w:sz w:val="20"/>
              </w:rPr>
              <w:t>选项</w:t>
            </w:r>
          </w:p>
        </w:tc>
        <w:tc>
          <w:tcPr>
            <w:tcW w:w="1224" w:type="dxa"/>
            <w:shd w:val="clear" w:color="auto" w:fill="1F4E79"/>
          </w:tcPr>
          <w:p w14:paraId="7126F461">
            <w:pPr>
              <w:spacing w:after="40"/>
            </w:pPr>
            <w:r>
              <w:rPr>
                <w:rFonts w:ascii="Times New Roman" w:hAnsi="Times New Roman" w:eastAsia="微软雅黑"/>
                <w:b/>
                <w:color w:val="FFFFFF"/>
                <w:sz w:val="20"/>
              </w:rPr>
              <w:t>判断</w:t>
            </w:r>
          </w:p>
        </w:tc>
        <w:tc>
          <w:tcPr>
            <w:tcW w:w="7344" w:type="dxa"/>
            <w:shd w:val="clear" w:color="auto" w:fill="1F4E79"/>
          </w:tcPr>
          <w:p w14:paraId="214F4808">
            <w:pPr>
              <w:spacing w:after="40"/>
            </w:pPr>
            <w:r>
              <w:rPr>
                <w:rFonts w:ascii="Times New Roman" w:hAnsi="Times New Roman" w:eastAsia="微软雅黑"/>
                <w:b/>
                <w:color w:val="FFFFFF"/>
                <w:sz w:val="20"/>
              </w:rPr>
              <w:t>理由</w:t>
            </w:r>
          </w:p>
        </w:tc>
      </w:tr>
      <w:tr w14:paraId="643776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4D9F3E1">
            <w:pPr>
              <w:spacing w:after="40" w:line="259" w:lineRule="auto"/>
            </w:pPr>
            <w:r>
              <w:rPr>
                <w:rFonts w:ascii="Times New Roman" w:hAnsi="Times New Roman" w:eastAsia="微软雅黑"/>
                <w:b w:val="0"/>
                <w:color w:val="000000"/>
                <w:sz w:val="19"/>
              </w:rPr>
              <w:t>A</w:t>
            </w:r>
          </w:p>
        </w:tc>
        <w:tc>
          <w:tcPr>
            <w:tcW w:w="1224" w:type="dxa"/>
          </w:tcPr>
          <w:p w14:paraId="48F293B3">
            <w:pPr>
              <w:spacing w:after="40" w:line="259" w:lineRule="auto"/>
            </w:pPr>
            <w:r>
              <w:rPr>
                <w:rFonts w:ascii="Times New Roman" w:hAnsi="Times New Roman" w:eastAsia="微软雅黑"/>
                <w:b w:val="0"/>
                <w:color w:val="000000"/>
                <w:sz w:val="19"/>
              </w:rPr>
              <w:t>正确</w:t>
            </w:r>
          </w:p>
        </w:tc>
        <w:tc>
          <w:tcPr>
            <w:tcW w:w="7344" w:type="dxa"/>
          </w:tcPr>
          <w:p w14:paraId="143AA0D5">
            <w:pPr>
              <w:spacing w:after="40" w:line="259" w:lineRule="auto"/>
            </w:pPr>
            <w:r>
              <w:rPr>
                <w:rFonts w:ascii="Times New Roman" w:hAnsi="Times New Roman" w:eastAsia="微软雅黑"/>
                <w:b w:val="0"/>
                <w:color w:val="000000"/>
                <w:sz w:val="19"/>
              </w:rPr>
              <w:t>由“rapid rise”落到学校处理申请的具体压力。</w:t>
            </w:r>
          </w:p>
        </w:tc>
      </w:tr>
      <w:tr w14:paraId="174F75B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1E5F2502">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6345B032">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693154E">
            <w:pPr>
              <w:spacing w:after="40" w:line="259" w:lineRule="auto"/>
            </w:pPr>
            <w:r>
              <w:rPr>
                <w:rFonts w:ascii="Times New Roman" w:hAnsi="Times New Roman" w:eastAsia="微软雅黑"/>
                <w:b w:val="0"/>
                <w:color w:val="000000"/>
                <w:sz w:val="19"/>
              </w:rPr>
              <w:t>学校 leaders 已在句中引入，B项属于更后置的原因解释。</w:t>
            </w:r>
          </w:p>
        </w:tc>
      </w:tr>
      <w:tr w14:paraId="2CBE4DC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2C3F354D">
            <w:pPr>
              <w:spacing w:after="40" w:line="259" w:lineRule="auto"/>
            </w:pPr>
            <w:r>
              <w:rPr>
                <w:rFonts w:ascii="Times New Roman" w:hAnsi="Times New Roman" w:eastAsia="微软雅黑"/>
                <w:b w:val="0"/>
                <w:color w:val="000000"/>
                <w:sz w:val="19"/>
              </w:rPr>
              <w:t>C</w:t>
            </w:r>
          </w:p>
        </w:tc>
        <w:tc>
          <w:tcPr>
            <w:tcW w:w="1224" w:type="dxa"/>
          </w:tcPr>
          <w:p w14:paraId="644B3D35">
            <w:pPr>
              <w:spacing w:after="40" w:line="259" w:lineRule="auto"/>
            </w:pPr>
            <w:r>
              <w:rPr>
                <w:rFonts w:ascii="Times New Roman" w:hAnsi="Times New Roman" w:eastAsia="微软雅黑"/>
                <w:b w:val="0"/>
                <w:color w:val="000000"/>
                <w:sz w:val="19"/>
              </w:rPr>
              <w:t>不能选</w:t>
            </w:r>
          </w:p>
        </w:tc>
        <w:tc>
          <w:tcPr>
            <w:tcW w:w="7344" w:type="dxa"/>
          </w:tcPr>
          <w:p w14:paraId="6069A33B">
            <w:pPr>
              <w:spacing w:after="40" w:line="259" w:lineRule="auto"/>
            </w:pPr>
            <w:r>
              <w:rPr>
                <w:rFonts w:ascii="Times New Roman" w:hAnsi="Times New Roman" w:eastAsia="微软雅黑"/>
                <w:b w:val="0"/>
                <w:color w:val="000000"/>
                <w:sz w:val="19"/>
              </w:rPr>
              <w:t>【C】应先于本段，为“Such a rapid rise”提供预测依据。</w:t>
            </w:r>
          </w:p>
        </w:tc>
      </w:tr>
      <w:tr w14:paraId="6AC42FB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44FC72FD">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354BEB12">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1B6BE70">
            <w:pPr>
              <w:spacing w:after="40" w:line="259" w:lineRule="auto"/>
            </w:pPr>
            <w:r>
              <w:rPr>
                <w:rFonts w:ascii="Times New Roman" w:hAnsi="Times New Roman" w:eastAsia="微软雅黑"/>
                <w:b w:val="0"/>
                <w:color w:val="000000"/>
                <w:sz w:val="19"/>
              </w:rPr>
              <w:t>【D】属于首段现象，重复且无法承接宏观影响。</w:t>
            </w:r>
          </w:p>
        </w:tc>
      </w:tr>
      <w:tr w14:paraId="4578BEB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209F0C81">
            <w:pPr>
              <w:spacing w:after="40" w:line="259" w:lineRule="auto"/>
            </w:pPr>
            <w:r>
              <w:rPr>
                <w:rFonts w:ascii="Times New Roman" w:hAnsi="Times New Roman" w:eastAsia="微软雅黑"/>
                <w:b w:val="0"/>
                <w:color w:val="000000"/>
                <w:sz w:val="19"/>
              </w:rPr>
              <w:t>E</w:t>
            </w:r>
          </w:p>
        </w:tc>
        <w:tc>
          <w:tcPr>
            <w:tcW w:w="1224" w:type="dxa"/>
          </w:tcPr>
          <w:p w14:paraId="3BD54F5A">
            <w:pPr>
              <w:spacing w:after="40" w:line="259" w:lineRule="auto"/>
            </w:pPr>
            <w:r>
              <w:rPr>
                <w:rFonts w:ascii="Times New Roman" w:hAnsi="Times New Roman" w:eastAsia="微软雅黑"/>
                <w:b w:val="0"/>
                <w:color w:val="000000"/>
                <w:sz w:val="19"/>
              </w:rPr>
              <w:t>不能选</w:t>
            </w:r>
          </w:p>
        </w:tc>
        <w:tc>
          <w:tcPr>
            <w:tcW w:w="7344" w:type="dxa"/>
          </w:tcPr>
          <w:p w14:paraId="4494B1C8">
            <w:pPr>
              <w:spacing w:after="40" w:line="259" w:lineRule="auto"/>
            </w:pPr>
            <w:r>
              <w:rPr>
                <w:rFonts w:ascii="Times New Roman" w:hAnsi="Times New Roman" w:eastAsia="微软雅黑"/>
                <w:b w:val="0"/>
                <w:color w:val="000000"/>
                <w:sz w:val="19"/>
              </w:rPr>
              <w:t>本段强调压力，而不是停止接受申请。</w:t>
            </w:r>
          </w:p>
        </w:tc>
      </w:tr>
      <w:tr w14:paraId="35734F9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4EB57CD2">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29786B9C">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B3C9784">
            <w:pPr>
              <w:spacing w:after="40" w:line="259" w:lineRule="auto"/>
            </w:pPr>
            <w:r>
              <w:rPr>
                <w:rFonts w:ascii="Times New Roman" w:hAnsi="Times New Roman" w:eastAsia="微软雅黑"/>
                <w:b w:val="0"/>
                <w:color w:val="000000"/>
                <w:sz w:val="19"/>
              </w:rPr>
              <w:t>“every child automatically”程度失真。</w:t>
            </w:r>
          </w:p>
        </w:tc>
      </w:tr>
      <w:tr w14:paraId="763F616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05C6210E">
            <w:pPr>
              <w:spacing w:after="40" w:line="259" w:lineRule="auto"/>
            </w:pPr>
            <w:r>
              <w:rPr>
                <w:rFonts w:ascii="Times New Roman" w:hAnsi="Times New Roman" w:eastAsia="微软雅黑"/>
                <w:b w:val="0"/>
                <w:color w:val="000000"/>
                <w:sz w:val="19"/>
              </w:rPr>
              <w:t>G</w:t>
            </w:r>
          </w:p>
        </w:tc>
        <w:tc>
          <w:tcPr>
            <w:tcW w:w="1224" w:type="dxa"/>
          </w:tcPr>
          <w:p w14:paraId="34C178B2">
            <w:pPr>
              <w:spacing w:after="40" w:line="259" w:lineRule="auto"/>
            </w:pPr>
            <w:r>
              <w:rPr>
                <w:rFonts w:ascii="Times New Roman" w:hAnsi="Times New Roman" w:eastAsia="微软雅黑"/>
                <w:b w:val="0"/>
                <w:color w:val="000000"/>
                <w:sz w:val="19"/>
              </w:rPr>
              <w:t>不能选</w:t>
            </w:r>
          </w:p>
        </w:tc>
        <w:tc>
          <w:tcPr>
            <w:tcW w:w="7344" w:type="dxa"/>
          </w:tcPr>
          <w:p w14:paraId="20DCC7C7">
            <w:pPr>
              <w:spacing w:after="40" w:line="259" w:lineRule="auto"/>
            </w:pPr>
            <w:r>
              <w:rPr>
                <w:rFonts w:ascii="Times New Roman" w:hAnsi="Times New Roman" w:eastAsia="微软雅黑"/>
                <w:b w:val="0"/>
                <w:color w:val="000000"/>
                <w:sz w:val="19"/>
              </w:rPr>
              <w:t>部长回应出现在EHCP定义与财政困难之后。</w:t>
            </w:r>
          </w:p>
        </w:tc>
      </w:tr>
    </w:tbl>
    <w:p w14:paraId="590FB5AA">
      <w:pPr>
        <w:spacing w:after="160" w:line="276" w:lineRule="auto"/>
      </w:pPr>
    </w:p>
    <w:p w14:paraId="5C01FED6">
      <w:pPr>
        <w:keepNext/>
        <w:spacing w:before="200" w:after="120"/>
      </w:pPr>
      <w:r>
        <w:rPr>
          <w:rFonts w:ascii="Times New Roman" w:hAnsi="Times New Roman" w:eastAsia="微软雅黑"/>
          <w:b/>
          <w:color w:val="000000"/>
          <w:sz w:val="23"/>
        </w:rPr>
        <w:t>44.【答案】G</w:t>
      </w:r>
    </w:p>
    <w:p w14:paraId="5C33AC4B">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第六段；空格在“...technically bankrupt”之后。</w:t>
      </w:r>
    </w:p>
    <w:p w14:paraId="4D9BF6BD">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前句集中写EHCP增长导致地方赤字，甚至需要中央政府的法定豁免以免技术性破产。【G】转入“Georgia Gould, the schools minister overseeing the changes, said…”，把地方财政困境引向中央政府的白皮书回应，并开启下一段改革时间线。</w:t>
      </w:r>
    </w:p>
    <w:p w14:paraId="0BFB9EB2">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4EA2D5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148A2E98">
            <w:pPr>
              <w:spacing w:after="40"/>
            </w:pPr>
            <w:r>
              <w:rPr>
                <w:rFonts w:ascii="Times New Roman" w:hAnsi="Times New Roman" w:eastAsia="微软雅黑"/>
                <w:b/>
                <w:color w:val="FFFFFF"/>
                <w:sz w:val="20"/>
              </w:rPr>
              <w:t>选项</w:t>
            </w:r>
          </w:p>
        </w:tc>
        <w:tc>
          <w:tcPr>
            <w:tcW w:w="1224" w:type="dxa"/>
            <w:shd w:val="clear" w:color="auto" w:fill="1F4E79"/>
          </w:tcPr>
          <w:p w14:paraId="53CAA205">
            <w:pPr>
              <w:spacing w:after="40"/>
            </w:pPr>
            <w:r>
              <w:rPr>
                <w:rFonts w:ascii="Times New Roman" w:hAnsi="Times New Roman" w:eastAsia="微软雅黑"/>
                <w:b/>
                <w:color w:val="FFFFFF"/>
                <w:sz w:val="20"/>
              </w:rPr>
              <w:t>判断</w:t>
            </w:r>
          </w:p>
        </w:tc>
        <w:tc>
          <w:tcPr>
            <w:tcW w:w="7344" w:type="dxa"/>
            <w:shd w:val="clear" w:color="auto" w:fill="1F4E79"/>
          </w:tcPr>
          <w:p w14:paraId="532FD16B">
            <w:pPr>
              <w:spacing w:after="40"/>
            </w:pPr>
            <w:r>
              <w:rPr>
                <w:rFonts w:ascii="Times New Roman" w:hAnsi="Times New Roman" w:eastAsia="微软雅黑"/>
                <w:b/>
                <w:color w:val="FFFFFF"/>
                <w:sz w:val="20"/>
              </w:rPr>
              <w:t>理由</w:t>
            </w:r>
          </w:p>
        </w:tc>
      </w:tr>
      <w:tr w14:paraId="7FE057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158515E3">
            <w:pPr>
              <w:spacing w:after="40" w:line="259" w:lineRule="auto"/>
            </w:pPr>
            <w:r>
              <w:rPr>
                <w:rFonts w:ascii="Times New Roman" w:hAnsi="Times New Roman" w:eastAsia="微软雅黑"/>
                <w:b w:val="0"/>
                <w:color w:val="000000"/>
                <w:sz w:val="19"/>
              </w:rPr>
              <w:t>A</w:t>
            </w:r>
          </w:p>
        </w:tc>
        <w:tc>
          <w:tcPr>
            <w:tcW w:w="1224" w:type="dxa"/>
          </w:tcPr>
          <w:p w14:paraId="7095E68F">
            <w:pPr>
              <w:spacing w:after="40" w:line="259" w:lineRule="auto"/>
            </w:pPr>
            <w:r>
              <w:rPr>
                <w:rFonts w:ascii="Times New Roman" w:hAnsi="Times New Roman" w:eastAsia="微软雅黑"/>
                <w:b w:val="0"/>
                <w:color w:val="000000"/>
                <w:sz w:val="19"/>
              </w:rPr>
              <w:t>不能选</w:t>
            </w:r>
          </w:p>
        </w:tc>
        <w:tc>
          <w:tcPr>
            <w:tcW w:w="7344" w:type="dxa"/>
          </w:tcPr>
          <w:p w14:paraId="1AF952D7">
            <w:pPr>
              <w:spacing w:after="40" w:line="259" w:lineRule="auto"/>
            </w:pPr>
            <w:r>
              <w:rPr>
                <w:rFonts w:ascii="Times New Roman" w:hAnsi="Times New Roman" w:eastAsia="微软雅黑"/>
                <w:b w:val="0"/>
                <w:color w:val="000000"/>
                <w:sz w:val="19"/>
              </w:rPr>
              <w:t>学校处理申请的压力已在第43空完成，不能重复。</w:t>
            </w:r>
          </w:p>
        </w:tc>
      </w:tr>
      <w:tr w14:paraId="1F60625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3C65D6F4">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121B4B4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AFF7F2D">
            <w:pPr>
              <w:spacing w:after="40" w:line="259" w:lineRule="auto"/>
            </w:pPr>
            <w:r>
              <w:rPr>
                <w:rFonts w:ascii="Times New Roman" w:hAnsi="Times New Roman" w:eastAsia="微软雅黑"/>
                <w:b w:val="0"/>
                <w:color w:val="000000"/>
                <w:sz w:val="19"/>
              </w:rPr>
              <w:t>Whiteman是对申请激增原因的回应，应出现在Gould之后。</w:t>
            </w:r>
          </w:p>
        </w:tc>
      </w:tr>
      <w:tr w14:paraId="5AE1CC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4B6EC927">
            <w:pPr>
              <w:spacing w:after="40" w:line="259" w:lineRule="auto"/>
            </w:pPr>
            <w:r>
              <w:rPr>
                <w:rFonts w:ascii="Times New Roman" w:hAnsi="Times New Roman" w:eastAsia="微软雅黑"/>
                <w:b w:val="0"/>
                <w:color w:val="000000"/>
                <w:sz w:val="19"/>
              </w:rPr>
              <w:t>C</w:t>
            </w:r>
          </w:p>
        </w:tc>
        <w:tc>
          <w:tcPr>
            <w:tcW w:w="1224" w:type="dxa"/>
          </w:tcPr>
          <w:p w14:paraId="236A70D8">
            <w:pPr>
              <w:spacing w:after="40" w:line="259" w:lineRule="auto"/>
            </w:pPr>
            <w:r>
              <w:rPr>
                <w:rFonts w:ascii="Times New Roman" w:hAnsi="Times New Roman" w:eastAsia="微软雅黑"/>
                <w:b w:val="0"/>
                <w:color w:val="000000"/>
                <w:sz w:val="19"/>
              </w:rPr>
              <w:t>不能选</w:t>
            </w:r>
          </w:p>
        </w:tc>
        <w:tc>
          <w:tcPr>
            <w:tcW w:w="7344" w:type="dxa"/>
          </w:tcPr>
          <w:p w14:paraId="1ABD9834">
            <w:pPr>
              <w:spacing w:after="40" w:line="259" w:lineRule="auto"/>
            </w:pPr>
            <w:r>
              <w:rPr>
                <w:rFonts w:ascii="Times New Roman" w:hAnsi="Times New Roman" w:eastAsia="微软雅黑"/>
                <w:b w:val="0"/>
                <w:color w:val="000000"/>
                <w:sz w:val="19"/>
              </w:rPr>
              <w:t>数据预测已经在第42空解决，不能后移。</w:t>
            </w:r>
          </w:p>
        </w:tc>
      </w:tr>
      <w:tr w14:paraId="5596F2B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33D91CE3">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50ECE0EB">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F2E0756">
            <w:pPr>
              <w:spacing w:after="40" w:line="259" w:lineRule="auto"/>
            </w:pPr>
            <w:r>
              <w:rPr>
                <w:rFonts w:ascii="Times New Roman" w:hAnsi="Times New Roman" w:eastAsia="微软雅黑"/>
                <w:b w:val="0"/>
                <w:color w:val="000000"/>
                <w:sz w:val="19"/>
              </w:rPr>
              <w:t>【D】是首段信息，与财政压力后的政府回应不匹配。</w:t>
            </w:r>
          </w:p>
        </w:tc>
      </w:tr>
      <w:tr w14:paraId="3E3376E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C954637">
            <w:pPr>
              <w:spacing w:after="40" w:line="259" w:lineRule="auto"/>
            </w:pPr>
            <w:r>
              <w:rPr>
                <w:rFonts w:ascii="Times New Roman" w:hAnsi="Times New Roman" w:eastAsia="微软雅黑"/>
                <w:b w:val="0"/>
                <w:color w:val="000000"/>
                <w:sz w:val="19"/>
              </w:rPr>
              <w:t>E</w:t>
            </w:r>
          </w:p>
        </w:tc>
        <w:tc>
          <w:tcPr>
            <w:tcW w:w="1224" w:type="dxa"/>
          </w:tcPr>
          <w:p w14:paraId="0E76D9E8">
            <w:pPr>
              <w:spacing w:after="40" w:line="259" w:lineRule="auto"/>
            </w:pPr>
            <w:r>
              <w:rPr>
                <w:rFonts w:ascii="Times New Roman" w:hAnsi="Times New Roman" w:eastAsia="微软雅黑"/>
                <w:b w:val="0"/>
                <w:color w:val="000000"/>
                <w:sz w:val="19"/>
              </w:rPr>
              <w:t>不能选</w:t>
            </w:r>
          </w:p>
        </w:tc>
        <w:tc>
          <w:tcPr>
            <w:tcW w:w="7344" w:type="dxa"/>
          </w:tcPr>
          <w:p w14:paraId="4B706365">
            <w:pPr>
              <w:spacing w:after="40" w:line="259" w:lineRule="auto"/>
            </w:pPr>
            <w:r>
              <w:rPr>
                <w:rFonts w:ascii="Times New Roman" w:hAnsi="Times New Roman" w:eastAsia="微软雅黑"/>
                <w:b w:val="0"/>
                <w:color w:val="000000"/>
                <w:sz w:val="19"/>
              </w:rPr>
              <w:t>原文并未说地方机构停止受理申请。</w:t>
            </w:r>
          </w:p>
        </w:tc>
      </w:tr>
      <w:tr w14:paraId="679F07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788782CC">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4FF6221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000223F">
            <w:pPr>
              <w:spacing w:after="40" w:line="259" w:lineRule="auto"/>
            </w:pPr>
            <w:r>
              <w:rPr>
                <w:rFonts w:ascii="Times New Roman" w:hAnsi="Times New Roman" w:eastAsia="微软雅黑"/>
                <w:b w:val="0"/>
                <w:color w:val="000000"/>
                <w:sz w:val="19"/>
              </w:rPr>
              <w:t>改革不是“每个孩子自动获得EHCP”，且与“moderate the need”矛盾。</w:t>
            </w:r>
          </w:p>
        </w:tc>
      </w:tr>
      <w:tr w14:paraId="7E7C10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0F80F9AC">
            <w:pPr>
              <w:spacing w:after="40" w:line="259" w:lineRule="auto"/>
            </w:pPr>
            <w:r>
              <w:rPr>
                <w:rFonts w:ascii="Times New Roman" w:hAnsi="Times New Roman" w:eastAsia="微软雅黑"/>
                <w:b w:val="0"/>
                <w:color w:val="000000"/>
                <w:sz w:val="19"/>
              </w:rPr>
              <w:t>G</w:t>
            </w:r>
          </w:p>
        </w:tc>
        <w:tc>
          <w:tcPr>
            <w:tcW w:w="1224" w:type="dxa"/>
          </w:tcPr>
          <w:p w14:paraId="2439ED21">
            <w:pPr>
              <w:spacing w:after="40" w:line="259" w:lineRule="auto"/>
            </w:pPr>
            <w:r>
              <w:rPr>
                <w:rFonts w:ascii="Times New Roman" w:hAnsi="Times New Roman" w:eastAsia="微软雅黑"/>
                <w:b w:val="0"/>
                <w:color w:val="000000"/>
                <w:sz w:val="19"/>
              </w:rPr>
              <w:t>正确</w:t>
            </w:r>
          </w:p>
        </w:tc>
        <w:tc>
          <w:tcPr>
            <w:tcW w:w="7344" w:type="dxa"/>
          </w:tcPr>
          <w:p w14:paraId="503C80FC">
            <w:pPr>
              <w:spacing w:after="40" w:line="259" w:lineRule="auto"/>
            </w:pPr>
            <w:r>
              <w:rPr>
                <w:rFonts w:ascii="Times New Roman" w:hAnsi="Times New Roman" w:eastAsia="微软雅黑"/>
                <w:b w:val="0"/>
                <w:color w:val="000000"/>
                <w:sz w:val="19"/>
              </w:rPr>
              <w:t>由地方财政压力过渡到部长和白皮书回应，符合“影响—回应”链。</w:t>
            </w:r>
          </w:p>
        </w:tc>
      </w:tr>
    </w:tbl>
    <w:p w14:paraId="1D393F53">
      <w:pPr>
        <w:spacing w:after="160" w:line="276" w:lineRule="auto"/>
      </w:pPr>
    </w:p>
    <w:p w14:paraId="73096D40">
      <w:pPr>
        <w:keepNext/>
        <w:spacing w:before="200" w:after="120"/>
      </w:pPr>
      <w:r>
        <w:rPr>
          <w:rFonts w:ascii="Times New Roman" w:hAnsi="Times New Roman" w:eastAsia="微软雅黑"/>
          <w:b/>
          <w:color w:val="000000"/>
          <w:sz w:val="23"/>
        </w:rPr>
        <w:t>45.【答案】B</w:t>
      </w:r>
    </w:p>
    <w:p w14:paraId="4243218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第八段；空格在“...what we hear from school leaders”之后。</w:t>
      </w:r>
    </w:p>
    <w:p w14:paraId="690905ED">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前句是 Paul Whiteman 概括报告与校长们的感受一致。【B】继续以“Whiteman said”展开解释：政府限制未来EHCP可能促使更多家庭和学校抢在变化前申请。它完成从“现象一致”到“原因判断”的推进。</w:t>
      </w:r>
    </w:p>
    <w:p w14:paraId="76ECE739">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172C43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5FEFCB6E">
            <w:pPr>
              <w:spacing w:after="40"/>
            </w:pPr>
            <w:r>
              <w:rPr>
                <w:rFonts w:ascii="Times New Roman" w:hAnsi="Times New Roman" w:eastAsia="微软雅黑"/>
                <w:b/>
                <w:color w:val="FFFFFF"/>
                <w:sz w:val="20"/>
              </w:rPr>
              <w:t>选项</w:t>
            </w:r>
          </w:p>
        </w:tc>
        <w:tc>
          <w:tcPr>
            <w:tcW w:w="1224" w:type="dxa"/>
            <w:shd w:val="clear" w:color="auto" w:fill="1F4E79"/>
          </w:tcPr>
          <w:p w14:paraId="1218B7DE">
            <w:pPr>
              <w:spacing w:after="40"/>
            </w:pPr>
            <w:r>
              <w:rPr>
                <w:rFonts w:ascii="Times New Roman" w:hAnsi="Times New Roman" w:eastAsia="微软雅黑"/>
                <w:b/>
                <w:color w:val="FFFFFF"/>
                <w:sz w:val="20"/>
              </w:rPr>
              <w:t>判断</w:t>
            </w:r>
          </w:p>
        </w:tc>
        <w:tc>
          <w:tcPr>
            <w:tcW w:w="7344" w:type="dxa"/>
            <w:shd w:val="clear" w:color="auto" w:fill="1F4E79"/>
          </w:tcPr>
          <w:p w14:paraId="67A73625">
            <w:pPr>
              <w:spacing w:after="40"/>
            </w:pPr>
            <w:r>
              <w:rPr>
                <w:rFonts w:ascii="Times New Roman" w:hAnsi="Times New Roman" w:eastAsia="微软雅黑"/>
                <w:b/>
                <w:color w:val="FFFFFF"/>
                <w:sz w:val="20"/>
              </w:rPr>
              <w:t>理由</w:t>
            </w:r>
          </w:p>
        </w:tc>
      </w:tr>
      <w:tr w14:paraId="54A8F4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3B4A3F9F">
            <w:pPr>
              <w:spacing w:after="40" w:line="259" w:lineRule="auto"/>
            </w:pPr>
            <w:r>
              <w:rPr>
                <w:rFonts w:ascii="Times New Roman" w:hAnsi="Times New Roman" w:eastAsia="微软雅黑"/>
                <w:b w:val="0"/>
                <w:color w:val="000000"/>
                <w:sz w:val="19"/>
              </w:rPr>
              <w:t>A</w:t>
            </w:r>
          </w:p>
        </w:tc>
        <w:tc>
          <w:tcPr>
            <w:tcW w:w="1224" w:type="dxa"/>
          </w:tcPr>
          <w:p w14:paraId="17AB5B56">
            <w:pPr>
              <w:spacing w:after="40" w:line="259" w:lineRule="auto"/>
            </w:pPr>
            <w:r>
              <w:rPr>
                <w:rFonts w:ascii="Times New Roman" w:hAnsi="Times New Roman" w:eastAsia="微软雅黑"/>
                <w:b w:val="0"/>
                <w:color w:val="000000"/>
                <w:sz w:val="19"/>
              </w:rPr>
              <w:t>不能选</w:t>
            </w:r>
          </w:p>
        </w:tc>
        <w:tc>
          <w:tcPr>
            <w:tcW w:w="7344" w:type="dxa"/>
          </w:tcPr>
          <w:p w14:paraId="126C6640">
            <w:pPr>
              <w:spacing w:after="40" w:line="259" w:lineRule="auto"/>
            </w:pPr>
            <w:r>
              <w:rPr>
                <w:rFonts w:ascii="Times New Roman" w:hAnsi="Times New Roman" w:eastAsia="微软雅黑"/>
                <w:b w:val="0"/>
                <w:color w:val="000000"/>
                <w:sz w:val="19"/>
              </w:rPr>
              <w:t>学校协调员的执行细节应在前部，不宜作为Whiteman的解释。</w:t>
            </w:r>
          </w:p>
        </w:tc>
      </w:tr>
      <w:tr w14:paraId="36D4D1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45914022">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3EB1C1A5">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1DB6B461">
            <w:pPr>
              <w:spacing w:after="40" w:line="259" w:lineRule="auto"/>
            </w:pPr>
            <w:r>
              <w:rPr>
                <w:rFonts w:ascii="Times New Roman" w:hAnsi="Times New Roman" w:eastAsia="微软雅黑"/>
                <w:b w:val="0"/>
                <w:color w:val="000000"/>
                <w:sz w:val="19"/>
              </w:rPr>
              <w:t>承接Whiteman的回应，解释提前申请的原因。</w:t>
            </w:r>
          </w:p>
        </w:tc>
      </w:tr>
      <w:tr w14:paraId="7FFDCF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BCAA494">
            <w:pPr>
              <w:spacing w:after="40" w:line="259" w:lineRule="auto"/>
            </w:pPr>
            <w:r>
              <w:rPr>
                <w:rFonts w:ascii="Times New Roman" w:hAnsi="Times New Roman" w:eastAsia="微软雅黑"/>
                <w:b w:val="0"/>
                <w:color w:val="000000"/>
                <w:sz w:val="19"/>
              </w:rPr>
              <w:t>C</w:t>
            </w:r>
          </w:p>
        </w:tc>
        <w:tc>
          <w:tcPr>
            <w:tcW w:w="1224" w:type="dxa"/>
          </w:tcPr>
          <w:p w14:paraId="47FBB730">
            <w:pPr>
              <w:spacing w:after="40" w:line="259" w:lineRule="auto"/>
            </w:pPr>
            <w:r>
              <w:rPr>
                <w:rFonts w:ascii="Times New Roman" w:hAnsi="Times New Roman" w:eastAsia="微软雅黑"/>
                <w:b w:val="0"/>
                <w:color w:val="000000"/>
                <w:sz w:val="19"/>
              </w:rPr>
              <w:t>不能选</w:t>
            </w:r>
          </w:p>
        </w:tc>
        <w:tc>
          <w:tcPr>
            <w:tcW w:w="7344" w:type="dxa"/>
          </w:tcPr>
          <w:p w14:paraId="4FBA4D01">
            <w:pPr>
              <w:spacing w:after="40" w:line="259" w:lineRule="auto"/>
            </w:pPr>
            <w:r>
              <w:rPr>
                <w:rFonts w:ascii="Times New Roman" w:hAnsi="Times New Roman" w:eastAsia="微软雅黑"/>
                <w:b w:val="0"/>
                <w:color w:val="000000"/>
                <w:sz w:val="19"/>
              </w:rPr>
              <w:t>预测数据属于第二段，不能打断人物回应。</w:t>
            </w:r>
          </w:p>
        </w:tc>
      </w:tr>
      <w:tr w14:paraId="6620E6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5B9F8C7C">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5BDCA10E">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134E4C8">
            <w:pPr>
              <w:spacing w:after="40" w:line="259" w:lineRule="auto"/>
            </w:pPr>
            <w:r>
              <w:rPr>
                <w:rFonts w:ascii="Times New Roman" w:hAnsi="Times New Roman" w:eastAsia="微软雅黑"/>
                <w:b w:val="0"/>
                <w:color w:val="000000"/>
                <w:sz w:val="19"/>
              </w:rPr>
              <w:t>【D】已用于首段，且不是原因解释。</w:t>
            </w:r>
          </w:p>
        </w:tc>
      </w:tr>
      <w:tr w14:paraId="7EB786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079629C6">
            <w:pPr>
              <w:spacing w:after="40" w:line="259" w:lineRule="auto"/>
            </w:pPr>
            <w:r>
              <w:rPr>
                <w:rFonts w:ascii="Times New Roman" w:hAnsi="Times New Roman" w:eastAsia="微软雅黑"/>
                <w:b w:val="0"/>
                <w:color w:val="000000"/>
                <w:sz w:val="19"/>
              </w:rPr>
              <w:t>E</w:t>
            </w:r>
          </w:p>
        </w:tc>
        <w:tc>
          <w:tcPr>
            <w:tcW w:w="1224" w:type="dxa"/>
          </w:tcPr>
          <w:p w14:paraId="244B10F2">
            <w:pPr>
              <w:spacing w:after="40" w:line="259" w:lineRule="auto"/>
            </w:pPr>
            <w:r>
              <w:rPr>
                <w:rFonts w:ascii="Times New Roman" w:hAnsi="Times New Roman" w:eastAsia="微软雅黑"/>
                <w:b w:val="0"/>
                <w:color w:val="000000"/>
                <w:sz w:val="19"/>
              </w:rPr>
              <w:t>不能选</w:t>
            </w:r>
          </w:p>
        </w:tc>
        <w:tc>
          <w:tcPr>
            <w:tcW w:w="7344" w:type="dxa"/>
          </w:tcPr>
          <w:p w14:paraId="6DCD413F">
            <w:pPr>
              <w:spacing w:after="40" w:line="259" w:lineRule="auto"/>
            </w:pPr>
            <w:r>
              <w:rPr>
                <w:rFonts w:ascii="Times New Roman" w:hAnsi="Times New Roman" w:eastAsia="微软雅黑"/>
                <w:b w:val="0"/>
                <w:color w:val="000000"/>
                <w:sz w:val="19"/>
              </w:rPr>
              <w:t>与申请持续增加和预测上调的事实矛盾。</w:t>
            </w:r>
          </w:p>
        </w:tc>
      </w:tr>
      <w:tr w14:paraId="2B64292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FEF6EDE">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44583C6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0F0E7DA">
            <w:pPr>
              <w:spacing w:after="40" w:line="259" w:lineRule="auto"/>
            </w:pPr>
            <w:r>
              <w:rPr>
                <w:rFonts w:ascii="Times New Roman" w:hAnsi="Times New Roman" w:eastAsia="微软雅黑"/>
                <w:b w:val="0"/>
                <w:color w:val="000000"/>
                <w:sz w:val="19"/>
              </w:rPr>
              <w:t>程度扩大，且不属于Whiteman的观点。</w:t>
            </w:r>
          </w:p>
        </w:tc>
      </w:tr>
      <w:tr w14:paraId="164259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13EAE13C">
            <w:pPr>
              <w:spacing w:after="40" w:line="259" w:lineRule="auto"/>
            </w:pPr>
            <w:r>
              <w:rPr>
                <w:rFonts w:ascii="Times New Roman" w:hAnsi="Times New Roman" w:eastAsia="微软雅黑"/>
                <w:b w:val="0"/>
                <w:color w:val="000000"/>
                <w:sz w:val="19"/>
              </w:rPr>
              <w:t>G</w:t>
            </w:r>
          </w:p>
        </w:tc>
        <w:tc>
          <w:tcPr>
            <w:tcW w:w="1224" w:type="dxa"/>
          </w:tcPr>
          <w:p w14:paraId="0A15DCCE">
            <w:pPr>
              <w:spacing w:after="40" w:line="259" w:lineRule="auto"/>
            </w:pPr>
            <w:r>
              <w:rPr>
                <w:rFonts w:ascii="Times New Roman" w:hAnsi="Times New Roman" w:eastAsia="微软雅黑"/>
                <w:b w:val="0"/>
                <w:color w:val="000000"/>
                <w:sz w:val="19"/>
              </w:rPr>
              <w:t>不能选</w:t>
            </w:r>
          </w:p>
        </w:tc>
        <w:tc>
          <w:tcPr>
            <w:tcW w:w="7344" w:type="dxa"/>
          </w:tcPr>
          <w:p w14:paraId="7AD621F4">
            <w:pPr>
              <w:spacing w:after="40" w:line="259" w:lineRule="auto"/>
            </w:pPr>
            <w:r>
              <w:rPr>
                <w:rFonts w:ascii="Times New Roman" w:hAnsi="Times New Roman" w:eastAsia="微软雅黑"/>
                <w:b w:val="0"/>
                <w:color w:val="000000"/>
                <w:sz w:val="19"/>
              </w:rPr>
              <w:t>【G】已在第44空承接政府回应，不能重复。</w:t>
            </w:r>
          </w:p>
        </w:tc>
      </w:tr>
    </w:tbl>
    <w:p w14:paraId="7DB85157">
      <w:pPr>
        <w:spacing w:after="160" w:line="276" w:lineRule="auto"/>
      </w:pPr>
    </w:p>
    <w:p w14:paraId="3173B14D">
      <w:pPr>
        <w:keepNext/>
        <w:spacing w:before="200" w:after="120"/>
      </w:pPr>
      <w:r>
        <w:rPr>
          <w:rFonts w:ascii="Times New Roman" w:hAnsi="Times New Roman" w:eastAsia="微软雅黑"/>
          <w:b/>
          <w:color w:val="000000"/>
          <w:sz w:val="24"/>
        </w:rPr>
        <w:t>干扰项设置</w:t>
      </w:r>
    </w:p>
    <w:p w14:paraId="5C110C38">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【E】利用地方财政压力设置“停止受理”的逻辑陷阱，但与全文申请激增相矛盾；【F】利用改革和白皮书设置“普及承诺”，但把“moderate the need for EHCPs”反向改写为“每个孩子自动获得EHCP”。两项目标都是让考生因局部词汇相似而忽略范围与方向。</w:t>
      </w:r>
    </w:p>
    <w:p w14:paraId="6D0B83E7">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41821616">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仓耳玄三M W05">
    <w:panose1 w:val="02020400000000000000"/>
    <w:charset w:val="80"/>
    <w:family w:val="auto"/>
    <w:pitch w:val="default"/>
    <w:sig w:usb0="800002BF" w:usb1="184D64F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FD1AD4"/>
    <w:rsid w:val="48AF05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2634</Words>
  <Characters>6225</Characters>
  <Lines>0</Lines>
  <Paragraphs>0</Paragraphs>
  <TotalTime>0</TotalTime>
  <ScaleCrop>false</ScaleCrop>
  <LinksUpToDate>false</LinksUpToDate>
  <CharactersWithSpaces>7020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2026-09-12T11:05:52Z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A26C00453BB34C16AEE97093BA183394_12</vt:lpwstr>
  </property>
</Properties>
</file>