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7605EC">
      <w:pPr>
        <w:keepNext/>
        <w:spacing w:before="200" w:after="120"/>
      </w:pPr>
      <w:r>
        <w:rPr>
          <w:rFonts w:ascii="Times New Roman" w:hAnsi="Times New Roman" w:eastAsia="微软雅黑"/>
          <w:b/>
          <w:color w:val="000000"/>
          <w:sz w:val="26"/>
        </w:rPr>
        <w:t>Part B</w:t>
      </w:r>
    </w:p>
    <w:p w14:paraId="0F1C789A">
      <w:pPr>
        <w:spacing w:after="60" w:line="276" w:lineRule="auto"/>
      </w:pPr>
      <w:r>
        <w:rPr>
          <w:rFonts w:ascii="Times New Roman" w:hAnsi="Times New Roman" w:eastAsia="微软雅黑"/>
          <w:b/>
          <w:color w:val="000000"/>
          <w:sz w:val="21"/>
        </w:rPr>
        <w:t>Directions:</w:t>
      </w:r>
    </w:p>
    <w:p w14:paraId="7D053B32">
      <w:pPr>
        <w:spacing w:after="240" w:line="276" w:lineRule="auto"/>
      </w:pPr>
      <w:r>
        <w:rPr>
          <w:rFonts w:ascii="Times New Roman" w:hAnsi="Times New Roman" w:eastAsia="微软雅黑"/>
          <w:b w:val="0"/>
          <w:color w:val="000000"/>
          <w:sz w:val="21"/>
        </w:rPr>
        <w:t>Read the following text and answer the questions by choosing the most suitable subheading from the list A-G for each of the numbered paragraphs (41-45). There are two extra subheadings. Mark your answers on the ANSWER SHEET. (10 points)</w:t>
      </w:r>
    </w:p>
    <w:p w14:paraId="7DB43BC4">
      <w:pPr>
        <w:spacing w:after="200" w:line="276" w:lineRule="auto"/>
      </w:pPr>
      <w:r>
        <w:rPr>
          <w:rFonts w:ascii="Times New Roman" w:hAnsi="Times New Roman" w:eastAsia="微软雅黑"/>
          <w:b w:val="0"/>
          <w:color w:val="000000"/>
          <w:sz w:val="21"/>
        </w:rPr>
        <w:t>The following paragraphs explain why data-centre construction in the Gulf has continued despite war.</w:t>
      </w:r>
    </w:p>
    <w:p w14:paraId="4EA03167">
      <w:pPr>
        <w:spacing w:after="200" w:line="283" w:lineRule="auto"/>
      </w:pPr>
      <w:r>
        <w:rPr>
          <w:rFonts w:ascii="Times New Roman" w:hAnsi="Times New Roman" w:eastAsia="微软雅黑"/>
          <w:b/>
          <w:color w:val="000000"/>
          <w:sz w:val="21"/>
        </w:rPr>
        <w:t xml:space="preserve">Paragraph 41  </w:t>
      </w:r>
      <w:r>
        <w:rPr>
          <w:rFonts w:ascii="Times New Roman" w:hAnsi="Times New Roman" w:eastAsia="微软雅黑"/>
          <w:b w:val="0"/>
          <w:color w:val="000000"/>
          <w:sz w:val="21"/>
        </w:rPr>
        <w:t>Several factors explain the region’s continued attraction, despite the conflict. One is cheap energy: electricity tariffs in the Gulf are around six cents per kilowatt hour, compared with between nine and 15 cents in America, reports PwC. Vast amounts of renewable power and new transmission infrastructure have pushed costs lower. Another is cheap land: according to PwC, industrial land for data centres in Saudi Arabia costs $10-50 per square metre, well below the $150-600 in northern Virginia, where many of America’s server farms live. McKinsey, another consultancy, puts the cost of building and powering a 100-megawatt AI data centre in the Gulf at $200-220 per MW hour, nearly as low as in China.</w:t>
      </w:r>
    </w:p>
    <w:p w14:paraId="246D588A">
      <w:pPr>
        <w:spacing w:after="200" w:line="283" w:lineRule="auto"/>
      </w:pPr>
      <w:r>
        <w:rPr>
          <w:rFonts w:ascii="Times New Roman" w:hAnsi="Times New Roman" w:eastAsia="微软雅黑"/>
          <w:b/>
          <w:color w:val="000000"/>
          <w:sz w:val="21"/>
        </w:rPr>
        <w:t xml:space="preserve">Paragraph 42  </w:t>
      </w:r>
      <w:r>
        <w:rPr>
          <w:rFonts w:ascii="Times New Roman" w:hAnsi="Times New Roman" w:eastAsia="微软雅黑"/>
          <w:b w:val="0"/>
          <w:color w:val="000000"/>
          <w:sz w:val="21"/>
        </w:rPr>
        <w:t>The Gulf has also established itself as a hub for industry talent: last year the UAE and Saudi Arabia were among the countries that recorded the highest net inflow of AI workers relative to their workforces. There is no evidence that war has sent this flow of talent into reverse.</w:t>
      </w:r>
    </w:p>
    <w:p w14:paraId="496EB8D8">
      <w:pPr>
        <w:spacing w:after="200" w:line="283" w:lineRule="auto"/>
      </w:pPr>
      <w:r>
        <w:rPr>
          <w:rFonts w:ascii="Times New Roman" w:hAnsi="Times New Roman" w:eastAsia="微软雅黑"/>
          <w:b/>
          <w:color w:val="000000"/>
          <w:sz w:val="21"/>
        </w:rPr>
        <w:t xml:space="preserve">Paragraph 43  </w:t>
      </w:r>
      <w:r>
        <w:rPr>
          <w:rFonts w:ascii="Times New Roman" w:hAnsi="Times New Roman" w:eastAsia="微软雅黑"/>
          <w:b w:val="0"/>
          <w:color w:val="000000"/>
          <w:sz w:val="21"/>
        </w:rPr>
        <w:t>Then there are the Gulf states’ deep pockets. In July MGX, an Emirati state-run fund, raised $50bn to invest in AI. Most of that money will flow to overseas companies, but those wanting a slice of it will be eager to keep their paymasters happy by investing in the region.</w:t>
      </w:r>
    </w:p>
    <w:p w14:paraId="04D5464B">
      <w:pPr>
        <w:spacing w:after="200" w:line="283" w:lineRule="auto"/>
      </w:pPr>
      <w:r>
        <w:rPr>
          <w:rFonts w:ascii="Times New Roman" w:hAnsi="Times New Roman" w:eastAsia="微软雅黑"/>
          <w:b/>
          <w:color w:val="000000"/>
          <w:sz w:val="21"/>
        </w:rPr>
        <w:t xml:space="preserve">Paragraph 44  </w:t>
      </w:r>
      <w:r>
        <w:rPr>
          <w:rFonts w:ascii="Times New Roman" w:hAnsi="Times New Roman" w:eastAsia="微软雅黑"/>
          <w:b w:val="0"/>
          <w:color w:val="000000"/>
          <w:sz w:val="21"/>
        </w:rPr>
        <w:t>Domestic policies in the Gulf will require more data centres, in effect underwriting demand. In April the UAE said it would deploy “agentic AI” across half of the government. The country’s National Cloud Security Policy requires “operational sovereignty” for government entities and operators of critical infrastructure, further supporting the build-out, while Saudi Arabia’s financial institutions are generally required to use cloud services within the country. Luca Bennici of McKinsey notes that private firms in the Gulf have “growing concerns” of their own about data protection and sovereignty.</w:t>
      </w:r>
    </w:p>
    <w:p w14:paraId="08AE2C0A">
      <w:pPr>
        <w:spacing w:after="200" w:line="283" w:lineRule="auto"/>
      </w:pPr>
      <w:r>
        <w:rPr>
          <w:rFonts w:ascii="Times New Roman" w:hAnsi="Times New Roman" w:eastAsia="微软雅黑"/>
          <w:b/>
          <w:color w:val="000000"/>
          <w:sz w:val="21"/>
        </w:rPr>
        <w:t xml:space="preserve">Paragraph 45  </w:t>
      </w:r>
      <w:r>
        <w:rPr>
          <w:rFonts w:ascii="Times New Roman" w:hAnsi="Times New Roman" w:eastAsia="微软雅黑"/>
          <w:b w:val="0"/>
          <w:color w:val="000000"/>
          <w:sz w:val="21"/>
        </w:rPr>
        <w:t>What is more, there is little of the public opposition to data centres increasingly on show in the West, where many people resent power-hungry facilities on their doorstep. Bashing data centres has turned into a popular campaign strategy in American politics. In the Gulf, not so much. “Centralised decision making” helps, says an executive in the region.</w:t>
      </w:r>
    </w:p>
    <w:p w14:paraId="47C33090">
      <w:pPr>
        <w:spacing w:after="80" w:line="269" w:lineRule="auto"/>
        <w:ind w:left="360"/>
      </w:pPr>
      <w:r>
        <w:rPr>
          <w:rFonts w:ascii="Times New Roman" w:hAnsi="Times New Roman" w:eastAsia="微软雅黑"/>
          <w:b/>
          <w:color w:val="000000"/>
          <w:sz w:val="21"/>
        </w:rPr>
        <w:t xml:space="preserve">[A] </w:t>
      </w:r>
      <w:r>
        <w:rPr>
          <w:rFonts w:ascii="Times New Roman" w:hAnsi="Times New Roman" w:eastAsia="微软雅黑"/>
          <w:b w:val="0"/>
          <w:color w:val="000000"/>
          <w:sz w:val="21"/>
        </w:rPr>
        <w:t>Government policies reinforce demand</w:t>
      </w:r>
    </w:p>
    <w:p w14:paraId="70B526C7">
      <w:pPr>
        <w:spacing w:after="80" w:line="269" w:lineRule="auto"/>
        <w:ind w:left="360"/>
      </w:pPr>
      <w:r>
        <w:rPr>
          <w:rFonts w:ascii="Times New Roman" w:hAnsi="Times New Roman" w:eastAsia="微软雅黑"/>
          <w:b/>
          <w:color w:val="000000"/>
          <w:sz w:val="21"/>
        </w:rPr>
        <w:t xml:space="preserve">[B] </w:t>
      </w:r>
      <w:r>
        <w:rPr>
          <w:rFonts w:ascii="Times New Roman" w:hAnsi="Times New Roman" w:eastAsia="微软雅黑"/>
          <w:b w:val="0"/>
          <w:color w:val="000000"/>
          <w:sz w:val="21"/>
        </w:rPr>
        <w:t>State-backed capital deepens commitment</w:t>
      </w:r>
    </w:p>
    <w:p w14:paraId="031CEE84">
      <w:pPr>
        <w:spacing w:after="80" w:line="269" w:lineRule="auto"/>
        <w:ind w:left="360"/>
      </w:pPr>
      <w:r>
        <w:rPr>
          <w:rFonts w:ascii="Times New Roman" w:hAnsi="Times New Roman" w:eastAsia="微软雅黑"/>
          <w:b/>
          <w:color w:val="000000"/>
          <w:sz w:val="21"/>
        </w:rPr>
        <w:t xml:space="preserve">[C] </w:t>
      </w:r>
      <w:r>
        <w:rPr>
          <w:rFonts w:ascii="Times New Roman" w:hAnsi="Times New Roman" w:eastAsia="微软雅黑"/>
          <w:b w:val="0"/>
          <w:color w:val="000000"/>
          <w:sz w:val="21"/>
        </w:rPr>
        <w:t>Cost advantages still favour the Gulf</w:t>
      </w:r>
    </w:p>
    <w:p w14:paraId="149982D1">
      <w:pPr>
        <w:spacing w:after="80" w:line="269" w:lineRule="auto"/>
        <w:ind w:left="360"/>
      </w:pPr>
      <w:r>
        <w:rPr>
          <w:rFonts w:ascii="Times New Roman" w:hAnsi="Times New Roman" w:eastAsia="微软雅黑"/>
          <w:b/>
          <w:color w:val="000000"/>
          <w:sz w:val="21"/>
        </w:rPr>
        <w:t xml:space="preserve">[D] </w:t>
      </w:r>
      <w:r>
        <w:rPr>
          <w:rFonts w:ascii="Times New Roman" w:hAnsi="Times New Roman" w:eastAsia="微软雅黑"/>
          <w:b w:val="0"/>
          <w:color w:val="000000"/>
          <w:sz w:val="21"/>
        </w:rPr>
        <w:t>The talent pipeline has not reversed</w:t>
      </w:r>
    </w:p>
    <w:p w14:paraId="1FD6ED0E">
      <w:pPr>
        <w:spacing w:after="80" w:line="269" w:lineRule="auto"/>
        <w:ind w:left="360"/>
      </w:pPr>
      <w:r>
        <w:rPr>
          <w:rFonts w:ascii="Times New Roman" w:hAnsi="Times New Roman" w:eastAsia="微软雅黑"/>
          <w:b/>
          <w:color w:val="000000"/>
          <w:sz w:val="21"/>
        </w:rPr>
        <w:t xml:space="preserve">[E] </w:t>
      </w:r>
      <w:r>
        <w:rPr>
          <w:rFonts w:ascii="Times New Roman" w:hAnsi="Times New Roman" w:eastAsia="微软雅黑"/>
          <w:b w:val="0"/>
          <w:color w:val="000000"/>
          <w:sz w:val="21"/>
        </w:rPr>
        <w:t>Public resistance remains limited</w:t>
      </w:r>
    </w:p>
    <w:p w14:paraId="196C7D78">
      <w:pPr>
        <w:spacing w:after="80" w:line="269" w:lineRule="auto"/>
        <w:ind w:left="360"/>
      </w:pPr>
      <w:r>
        <w:rPr>
          <w:rFonts w:ascii="Times New Roman" w:hAnsi="Times New Roman" w:eastAsia="微软雅黑"/>
          <w:b/>
          <w:color w:val="000000"/>
          <w:sz w:val="21"/>
        </w:rPr>
        <w:t xml:space="preserve">[F] </w:t>
      </w:r>
      <w:r>
        <w:rPr>
          <w:rFonts w:ascii="Times New Roman" w:hAnsi="Times New Roman" w:eastAsia="微软雅黑"/>
          <w:b w:val="0"/>
          <w:color w:val="000000"/>
          <w:sz w:val="21"/>
        </w:rPr>
        <w:t>War has stopped all new construction</w:t>
      </w:r>
    </w:p>
    <w:p w14:paraId="49D771B0">
      <w:pPr>
        <w:spacing w:after="80" w:line="269" w:lineRule="auto"/>
        <w:ind w:left="360"/>
      </w:pPr>
      <w:r>
        <w:rPr>
          <w:rFonts w:ascii="Times New Roman" w:hAnsi="Times New Roman" w:eastAsia="微软雅黑"/>
          <w:b/>
          <w:color w:val="000000"/>
          <w:sz w:val="21"/>
        </w:rPr>
        <w:t xml:space="preserve">[G] </w:t>
      </w:r>
      <w:r>
        <w:rPr>
          <w:rFonts w:ascii="Times New Roman" w:hAnsi="Times New Roman" w:eastAsia="微软雅黑"/>
          <w:b w:val="0"/>
          <w:color w:val="000000"/>
          <w:sz w:val="21"/>
        </w:rPr>
        <w:t>Companies reject local data controls</w:t>
      </w:r>
    </w:p>
    <w:p w14:paraId="36906399">
      <w:pPr>
        <w:keepNext/>
        <w:spacing w:before="280" w:after="120"/>
      </w:pPr>
      <w:r>
        <w:rPr>
          <w:rFonts w:ascii="Times New Roman" w:hAnsi="Times New Roman" w:eastAsia="微软雅黑"/>
          <w:b/>
          <w:color w:val="000000"/>
          <w:sz w:val="28"/>
        </w:rPr>
        <w:t>答案与解析</w:t>
      </w:r>
    </w:p>
    <w:p w14:paraId="27AA18C1">
      <w:pPr>
        <w:keepNext/>
        <w:spacing w:before="200" w:after="120"/>
      </w:pPr>
      <w:r>
        <w:rPr>
          <w:rFonts w:ascii="Times New Roman" w:hAnsi="Times New Roman" w:eastAsia="微软雅黑"/>
          <w:b/>
          <w:color w:val="000000"/>
          <w:sz w:val="24"/>
        </w:rPr>
        <w:t>答案速查</w:t>
      </w:r>
    </w:p>
    <w:p w14:paraId="25F8043B">
      <w:pPr>
        <w:spacing w:after="200" w:line="276" w:lineRule="auto"/>
      </w:pPr>
      <w:r>
        <w:rPr>
          <w:rFonts w:ascii="Times New Roman" w:hAnsi="Times New Roman" w:eastAsia="微软雅黑"/>
          <w:b/>
          <w:color w:val="000000"/>
          <w:sz w:val="21"/>
        </w:rPr>
        <w:t>41. C    42. D    43. B    44. A    45. E</w:t>
      </w:r>
    </w:p>
    <w:p w14:paraId="684AD6AB">
      <w:pPr>
        <w:keepNext/>
        <w:spacing w:before="200" w:after="120"/>
      </w:pPr>
      <w:r>
        <w:rPr>
          <w:rFonts w:ascii="Times New Roman" w:hAnsi="Times New Roman" w:eastAsia="微软雅黑"/>
          <w:b/>
          <w:color w:val="000000"/>
          <w:sz w:val="24"/>
        </w:rPr>
        <w:t>文章与命题分析</w:t>
      </w:r>
    </w:p>
    <w:p w14:paraId="05576586">
      <w:pPr>
        <w:spacing w:after="80" w:line="276" w:lineRule="auto"/>
      </w:pPr>
      <w:r>
        <w:rPr>
          <w:rFonts w:ascii="Times New Roman" w:hAnsi="Times New Roman" w:eastAsia="微软雅黑"/>
          <w:b w:val="0"/>
          <w:color w:val="000000"/>
          <w:sz w:val="21"/>
        </w:rPr>
        <w:t>文章主旨：尽管海湾地区爆发战争，数据中心建设仍在继续，因为成本、人才、资本、政策需求和社会阻力等条件仍然支持扩张。</w:t>
      </w:r>
    </w:p>
    <w:p w14:paraId="3F6287C2">
      <w:pPr>
        <w:spacing w:after="80" w:line="276" w:lineRule="auto"/>
      </w:pPr>
      <w:r>
        <w:rPr>
          <w:rFonts w:ascii="Times New Roman" w:hAnsi="Times New Roman" w:eastAsia="微软雅黑"/>
          <w:b w:val="0"/>
          <w:color w:val="000000"/>
          <w:sz w:val="21"/>
        </w:rPr>
        <w:t>结构脉络：成本优势 → 人才持续流入 → 主权资本投入 → 政府政策创造需求 → 公众反对有限。</w:t>
      </w:r>
    </w:p>
    <w:p w14:paraId="0BE45E0E">
      <w:pPr>
        <w:spacing w:after="80" w:line="276" w:lineRule="auto"/>
      </w:pPr>
      <w:r>
        <w:rPr>
          <w:rFonts w:ascii="Times New Roman" w:hAnsi="Times New Roman" w:eastAsia="微软雅黑"/>
          <w:b w:val="0"/>
          <w:color w:val="000000"/>
          <w:sz w:val="21"/>
        </w:rPr>
        <w:t>题型适配：五个段落各自围绕一个独立原因展开，段落中心和关键词清晰，适合小标题匹配。</w:t>
      </w:r>
    </w:p>
    <w:p w14:paraId="7344E62B">
      <w:pPr>
        <w:spacing w:after="200" w:line="276" w:lineRule="auto"/>
      </w:pPr>
      <w:r>
        <w:rPr>
          <w:rFonts w:ascii="Times New Roman" w:hAnsi="Times New Roman" w:eastAsia="微软雅黑"/>
          <w:b w:val="0"/>
          <w:color w:val="000000"/>
          <w:sz w:val="21"/>
        </w:rPr>
        <w:t>解题入口：先找每段的主题句和支持性细节；用“战争没有停止建设”排除绝对化干扰项，用数据主权方向排除反向干扰项。</w:t>
      </w:r>
    </w:p>
    <w:p w14:paraId="659967EF">
      <w:pPr>
        <w:keepNext/>
        <w:spacing w:before="200" w:after="120"/>
      </w:pPr>
      <w:r>
        <w:rPr>
          <w:rFonts w:ascii="Times New Roman" w:hAnsi="Times New Roman" w:eastAsia="微软雅黑"/>
          <w:b/>
          <w:color w:val="000000"/>
          <w:sz w:val="24"/>
        </w:rPr>
        <w:t>选项总览</w:t>
      </w:r>
    </w:p>
    <w:p w14:paraId="016D1CB8">
      <w:pPr>
        <w:spacing w:after="80"/>
        <w:ind w:left="360"/>
      </w:pPr>
      <w:r>
        <w:rPr>
          <w:rFonts w:ascii="Times New Roman" w:hAnsi="Times New Roman" w:eastAsia="微软雅黑"/>
          <w:b/>
          <w:color w:val="000000"/>
          <w:sz w:val="21"/>
        </w:rPr>
        <w:t xml:space="preserve">[A] </w:t>
      </w:r>
      <w:r>
        <w:rPr>
          <w:rFonts w:ascii="Times New Roman" w:hAnsi="Times New Roman" w:eastAsia="微软雅黑"/>
          <w:b w:val="0"/>
          <w:color w:val="000000"/>
          <w:sz w:val="21"/>
        </w:rPr>
        <w:t>概括政府政策和本地数据要求带来的需求。</w:t>
      </w:r>
    </w:p>
    <w:p w14:paraId="6E2CB4E6">
      <w:pPr>
        <w:spacing w:after="80"/>
        <w:ind w:left="360"/>
      </w:pPr>
      <w:r>
        <w:rPr>
          <w:rFonts w:ascii="Times New Roman" w:hAnsi="Times New Roman" w:eastAsia="微软雅黑"/>
          <w:b/>
          <w:color w:val="000000"/>
          <w:sz w:val="21"/>
        </w:rPr>
        <w:t xml:space="preserve">[B] </w:t>
      </w:r>
      <w:r>
        <w:rPr>
          <w:rFonts w:ascii="Times New Roman" w:hAnsi="Times New Roman" w:eastAsia="微软雅黑"/>
          <w:b w:val="0"/>
          <w:color w:val="000000"/>
          <w:sz w:val="21"/>
        </w:rPr>
        <w:t>概括国家基金对区域投资的牵引作用。</w:t>
      </w:r>
    </w:p>
    <w:p w14:paraId="70C2A4B2">
      <w:pPr>
        <w:spacing w:after="80"/>
        <w:ind w:left="360"/>
      </w:pPr>
      <w:r>
        <w:rPr>
          <w:rFonts w:ascii="Times New Roman" w:hAnsi="Times New Roman" w:eastAsia="微软雅黑"/>
          <w:b/>
          <w:color w:val="000000"/>
          <w:sz w:val="21"/>
        </w:rPr>
        <w:t xml:space="preserve">[C] </w:t>
      </w:r>
      <w:r>
        <w:rPr>
          <w:rFonts w:ascii="Times New Roman" w:hAnsi="Times New Roman" w:eastAsia="微软雅黑"/>
          <w:b w:val="0"/>
          <w:color w:val="000000"/>
          <w:sz w:val="21"/>
        </w:rPr>
        <w:t>概括能源、土地和建设运营成本优势。</w:t>
      </w:r>
    </w:p>
    <w:p w14:paraId="6F0FB2C4">
      <w:pPr>
        <w:spacing w:after="80"/>
        <w:ind w:left="360"/>
      </w:pPr>
      <w:r>
        <w:rPr>
          <w:rFonts w:ascii="Times New Roman" w:hAnsi="Times New Roman" w:eastAsia="微软雅黑"/>
          <w:b/>
          <w:color w:val="000000"/>
          <w:sz w:val="21"/>
        </w:rPr>
        <w:t xml:space="preserve">[D] </w:t>
      </w:r>
      <w:r>
        <w:rPr>
          <w:rFonts w:ascii="Times New Roman" w:hAnsi="Times New Roman" w:eastAsia="微软雅黑"/>
          <w:b w:val="0"/>
          <w:color w:val="000000"/>
          <w:sz w:val="21"/>
        </w:rPr>
        <w:t>概括 AI 人才继续流入的趋势。</w:t>
      </w:r>
    </w:p>
    <w:p w14:paraId="6CC74C90">
      <w:pPr>
        <w:spacing w:after="80"/>
        <w:ind w:left="360"/>
      </w:pPr>
      <w:r>
        <w:rPr>
          <w:rFonts w:ascii="Times New Roman" w:hAnsi="Times New Roman" w:eastAsia="微软雅黑"/>
          <w:b/>
          <w:color w:val="000000"/>
          <w:sz w:val="21"/>
        </w:rPr>
        <w:t xml:space="preserve">[E] </w:t>
      </w:r>
      <w:r>
        <w:rPr>
          <w:rFonts w:ascii="Times New Roman" w:hAnsi="Times New Roman" w:eastAsia="微软雅黑"/>
          <w:b w:val="0"/>
          <w:color w:val="000000"/>
          <w:sz w:val="21"/>
        </w:rPr>
        <w:t>概括公众反对有限和集中决策的环境。</w:t>
      </w:r>
    </w:p>
    <w:p w14:paraId="5253E970">
      <w:pPr>
        <w:spacing w:after="80"/>
        <w:ind w:left="360"/>
      </w:pPr>
      <w:r>
        <w:rPr>
          <w:rFonts w:ascii="Times New Roman" w:hAnsi="Times New Roman" w:eastAsia="微软雅黑"/>
          <w:b/>
          <w:color w:val="000000"/>
          <w:sz w:val="21"/>
        </w:rPr>
        <w:t xml:space="preserve">[F] </w:t>
      </w:r>
      <w:r>
        <w:rPr>
          <w:rFonts w:ascii="Times New Roman" w:hAnsi="Times New Roman" w:eastAsia="微软雅黑"/>
          <w:b w:val="0"/>
          <w:color w:val="000000"/>
          <w:sz w:val="21"/>
        </w:rPr>
        <w:t>把战争影响绝对化为“全部停建”，与文意相反。</w:t>
      </w:r>
    </w:p>
    <w:p w14:paraId="00CEA32F">
      <w:pPr>
        <w:spacing w:after="80"/>
        <w:ind w:left="360"/>
      </w:pPr>
      <w:r>
        <w:rPr>
          <w:rFonts w:ascii="Times New Roman" w:hAnsi="Times New Roman" w:eastAsia="微软雅黑"/>
          <w:b/>
          <w:color w:val="000000"/>
          <w:sz w:val="21"/>
        </w:rPr>
        <w:t xml:space="preserve">[G] </w:t>
      </w:r>
      <w:r>
        <w:rPr>
          <w:rFonts w:ascii="Times New Roman" w:hAnsi="Times New Roman" w:eastAsia="微软雅黑"/>
          <w:b w:val="0"/>
          <w:color w:val="000000"/>
          <w:sz w:val="21"/>
        </w:rPr>
        <w:t>把企业对数据保护的要求写成拒绝本地管控，方向错误。</w:t>
      </w:r>
    </w:p>
    <w:p w14:paraId="038A325F">
      <w:pPr>
        <w:spacing w:after="120" w:line="276" w:lineRule="auto"/>
      </w:pPr>
    </w:p>
    <w:p w14:paraId="122A4F34">
      <w:pPr>
        <w:keepNext/>
        <w:spacing w:before="200" w:after="120"/>
      </w:pPr>
      <w:r>
        <w:rPr>
          <w:rFonts w:ascii="Times New Roman" w:hAnsi="Times New Roman" w:eastAsia="微软雅黑"/>
          <w:b/>
          <w:color w:val="000000"/>
          <w:sz w:val="23"/>
        </w:rPr>
        <w:t>41.【答案】C</w:t>
      </w:r>
    </w:p>
    <w:p w14:paraId="07333571">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Paragraph 41。</w:t>
      </w:r>
    </w:p>
    <w:p w14:paraId="18666E97">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该段以“Several factors”开启原因分析，先用电力价格对比说明 cheap energy，再用土地价格和 100 兆瓦数据中心的成本说明 cheap land 与建设运营优势。【C】中的 cost advantages 正是对这些价格证据的概括，favour the Gulf 也回应段首 continued attraction。</w:t>
      </w:r>
    </w:p>
    <w:p w14:paraId="35ACB50E">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761FBEE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936" w:type="dxa"/>
            <w:shd w:val="clear" w:color="auto" w:fill="1F4E79"/>
          </w:tcPr>
          <w:p w14:paraId="29D31DEE">
            <w:pPr>
              <w:spacing w:after="40"/>
            </w:pPr>
            <w:r>
              <w:rPr>
                <w:rFonts w:ascii="Times New Roman" w:hAnsi="Times New Roman" w:eastAsia="微软雅黑"/>
                <w:b/>
                <w:color w:val="FFFFFF"/>
                <w:sz w:val="20"/>
              </w:rPr>
              <w:t>选项</w:t>
            </w:r>
          </w:p>
        </w:tc>
        <w:tc>
          <w:tcPr>
            <w:tcW w:w="1224" w:type="dxa"/>
            <w:shd w:val="clear" w:color="auto" w:fill="1F4E79"/>
          </w:tcPr>
          <w:p w14:paraId="7CB69203">
            <w:pPr>
              <w:spacing w:after="40"/>
            </w:pPr>
            <w:r>
              <w:rPr>
                <w:rFonts w:ascii="Times New Roman" w:hAnsi="Times New Roman" w:eastAsia="微软雅黑"/>
                <w:b/>
                <w:color w:val="FFFFFF"/>
                <w:sz w:val="20"/>
              </w:rPr>
              <w:t>判断</w:t>
            </w:r>
          </w:p>
        </w:tc>
        <w:tc>
          <w:tcPr>
            <w:tcW w:w="7344" w:type="dxa"/>
            <w:shd w:val="clear" w:color="auto" w:fill="1F4E79"/>
          </w:tcPr>
          <w:p w14:paraId="07ACC5B5">
            <w:pPr>
              <w:spacing w:after="40"/>
            </w:pPr>
            <w:r>
              <w:rPr>
                <w:rFonts w:ascii="Times New Roman" w:hAnsi="Times New Roman" w:eastAsia="微软雅黑"/>
                <w:b/>
                <w:color w:val="FFFFFF"/>
                <w:sz w:val="20"/>
              </w:rPr>
              <w:t>理由</w:t>
            </w:r>
          </w:p>
        </w:tc>
      </w:tr>
      <w:tr w14:paraId="3AB3C78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4B47127B">
            <w:pPr>
              <w:spacing w:after="40" w:line="259" w:lineRule="auto"/>
            </w:pPr>
            <w:r>
              <w:rPr>
                <w:rFonts w:ascii="Times New Roman" w:hAnsi="Times New Roman" w:eastAsia="微软雅黑"/>
                <w:b w:val="0"/>
                <w:color w:val="000000"/>
                <w:sz w:val="19"/>
              </w:rPr>
              <w:t>A</w:t>
            </w:r>
          </w:p>
        </w:tc>
        <w:tc>
          <w:tcPr>
            <w:tcW w:w="1224" w:type="dxa"/>
          </w:tcPr>
          <w:p w14:paraId="319F2695">
            <w:pPr>
              <w:spacing w:after="40" w:line="259" w:lineRule="auto"/>
            </w:pPr>
            <w:r>
              <w:rPr>
                <w:rFonts w:ascii="Times New Roman" w:hAnsi="Times New Roman" w:eastAsia="微软雅黑"/>
                <w:b w:val="0"/>
                <w:color w:val="000000"/>
                <w:sz w:val="19"/>
              </w:rPr>
              <w:t>不能选</w:t>
            </w:r>
          </w:p>
        </w:tc>
        <w:tc>
          <w:tcPr>
            <w:tcW w:w="7344" w:type="dxa"/>
          </w:tcPr>
          <w:p w14:paraId="082347EA">
            <w:pPr>
              <w:spacing w:after="40" w:line="259" w:lineRule="auto"/>
            </w:pPr>
            <w:r>
              <w:rPr>
                <w:rFonts w:ascii="Times New Roman" w:hAnsi="Times New Roman" w:eastAsia="微软雅黑"/>
                <w:b w:val="0"/>
                <w:color w:val="000000"/>
                <w:sz w:val="19"/>
              </w:rPr>
              <w:t>政府政策是后一段中心，不是本段主题。</w:t>
            </w:r>
          </w:p>
        </w:tc>
      </w:tr>
      <w:tr w14:paraId="3518523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5324B84A">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4403D3FE">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4B8D71A9">
            <w:pPr>
              <w:spacing w:after="40" w:line="259" w:lineRule="auto"/>
            </w:pPr>
            <w:r>
              <w:rPr>
                <w:rFonts w:ascii="Times New Roman" w:hAnsi="Times New Roman" w:eastAsia="微软雅黑"/>
                <w:b w:val="0"/>
                <w:color w:val="000000"/>
                <w:sz w:val="19"/>
              </w:rPr>
              <w:t>国家基金在后文出现，本段证据是成本。</w:t>
            </w:r>
          </w:p>
        </w:tc>
      </w:tr>
      <w:tr w14:paraId="7EED34B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5446D1C7">
            <w:pPr>
              <w:spacing w:after="40" w:line="259" w:lineRule="auto"/>
            </w:pPr>
            <w:r>
              <w:rPr>
                <w:rFonts w:ascii="Times New Roman" w:hAnsi="Times New Roman" w:eastAsia="微软雅黑"/>
                <w:b w:val="0"/>
                <w:color w:val="000000"/>
                <w:sz w:val="19"/>
              </w:rPr>
              <w:t>C</w:t>
            </w:r>
          </w:p>
        </w:tc>
        <w:tc>
          <w:tcPr>
            <w:tcW w:w="1224" w:type="dxa"/>
          </w:tcPr>
          <w:p w14:paraId="67537D94">
            <w:pPr>
              <w:spacing w:after="40" w:line="259" w:lineRule="auto"/>
            </w:pPr>
            <w:r>
              <w:rPr>
                <w:rFonts w:ascii="Times New Roman" w:hAnsi="Times New Roman" w:eastAsia="微软雅黑"/>
                <w:b w:val="0"/>
                <w:color w:val="000000"/>
                <w:sz w:val="19"/>
              </w:rPr>
              <w:t>正确</w:t>
            </w:r>
          </w:p>
        </w:tc>
        <w:tc>
          <w:tcPr>
            <w:tcW w:w="7344" w:type="dxa"/>
          </w:tcPr>
          <w:p w14:paraId="4C30C779">
            <w:pPr>
              <w:spacing w:after="40" w:line="259" w:lineRule="auto"/>
            </w:pPr>
            <w:r>
              <w:rPr>
                <w:rFonts w:ascii="Times New Roman" w:hAnsi="Times New Roman" w:eastAsia="微软雅黑"/>
                <w:b w:val="0"/>
                <w:color w:val="000000"/>
                <w:sz w:val="19"/>
              </w:rPr>
              <w:t>概括能源、土地和综合成本优势。</w:t>
            </w:r>
          </w:p>
        </w:tc>
      </w:tr>
      <w:tr w14:paraId="6616510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6702D2F6">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47F1BE49">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638F933B">
            <w:pPr>
              <w:spacing w:after="40" w:line="259" w:lineRule="auto"/>
            </w:pPr>
            <w:r>
              <w:rPr>
                <w:rFonts w:ascii="Times New Roman" w:hAnsi="Times New Roman" w:eastAsia="微软雅黑"/>
                <w:b w:val="0"/>
                <w:color w:val="000000"/>
                <w:sz w:val="19"/>
              </w:rPr>
              <w:t>人才流动是下一段中心。</w:t>
            </w:r>
          </w:p>
        </w:tc>
      </w:tr>
      <w:tr w14:paraId="7EDFE4E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60859A96">
            <w:pPr>
              <w:spacing w:after="40" w:line="259" w:lineRule="auto"/>
            </w:pPr>
            <w:r>
              <w:rPr>
                <w:rFonts w:ascii="Times New Roman" w:hAnsi="Times New Roman" w:eastAsia="微软雅黑"/>
                <w:b w:val="0"/>
                <w:color w:val="000000"/>
                <w:sz w:val="19"/>
              </w:rPr>
              <w:t>E</w:t>
            </w:r>
          </w:p>
        </w:tc>
        <w:tc>
          <w:tcPr>
            <w:tcW w:w="1224" w:type="dxa"/>
          </w:tcPr>
          <w:p w14:paraId="0E87A73A">
            <w:pPr>
              <w:spacing w:after="40" w:line="259" w:lineRule="auto"/>
            </w:pPr>
            <w:r>
              <w:rPr>
                <w:rFonts w:ascii="Times New Roman" w:hAnsi="Times New Roman" w:eastAsia="微软雅黑"/>
                <w:b w:val="0"/>
                <w:color w:val="000000"/>
                <w:sz w:val="19"/>
              </w:rPr>
              <w:t>不能选</w:t>
            </w:r>
          </w:p>
        </w:tc>
        <w:tc>
          <w:tcPr>
            <w:tcW w:w="7344" w:type="dxa"/>
          </w:tcPr>
          <w:p w14:paraId="4151F72F">
            <w:pPr>
              <w:spacing w:after="40" w:line="259" w:lineRule="auto"/>
            </w:pPr>
            <w:r>
              <w:rPr>
                <w:rFonts w:ascii="Times New Roman" w:hAnsi="Times New Roman" w:eastAsia="微软雅黑"/>
                <w:b w:val="0"/>
                <w:color w:val="000000"/>
                <w:sz w:val="19"/>
              </w:rPr>
              <w:t>公众态度属于后文。</w:t>
            </w:r>
          </w:p>
        </w:tc>
      </w:tr>
      <w:tr w14:paraId="4BC5045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330DA803">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77B7EBFF">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6D5B3B34">
            <w:pPr>
              <w:spacing w:after="40" w:line="259" w:lineRule="auto"/>
            </w:pPr>
            <w:r>
              <w:rPr>
                <w:rFonts w:ascii="Times New Roman" w:hAnsi="Times New Roman" w:eastAsia="微软雅黑"/>
                <w:b w:val="0"/>
                <w:color w:val="000000"/>
                <w:sz w:val="19"/>
              </w:rPr>
              <w:t>本段解释继续建设，而不是说全部停建。</w:t>
            </w:r>
          </w:p>
        </w:tc>
      </w:tr>
      <w:tr w14:paraId="48A13A6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492AF310">
            <w:pPr>
              <w:spacing w:after="40" w:line="259" w:lineRule="auto"/>
            </w:pPr>
            <w:r>
              <w:rPr>
                <w:rFonts w:ascii="Times New Roman" w:hAnsi="Times New Roman" w:eastAsia="微软雅黑"/>
                <w:b w:val="0"/>
                <w:color w:val="000000"/>
                <w:sz w:val="19"/>
              </w:rPr>
              <w:t>G</w:t>
            </w:r>
          </w:p>
        </w:tc>
        <w:tc>
          <w:tcPr>
            <w:tcW w:w="1224" w:type="dxa"/>
          </w:tcPr>
          <w:p w14:paraId="16C6AC3A">
            <w:pPr>
              <w:spacing w:after="40" w:line="259" w:lineRule="auto"/>
            </w:pPr>
            <w:r>
              <w:rPr>
                <w:rFonts w:ascii="Times New Roman" w:hAnsi="Times New Roman" w:eastAsia="微软雅黑"/>
                <w:b w:val="0"/>
                <w:color w:val="000000"/>
                <w:sz w:val="19"/>
              </w:rPr>
              <w:t>不能选</w:t>
            </w:r>
          </w:p>
        </w:tc>
        <w:tc>
          <w:tcPr>
            <w:tcW w:w="7344" w:type="dxa"/>
          </w:tcPr>
          <w:p w14:paraId="7646D078">
            <w:pPr>
              <w:spacing w:after="40" w:line="259" w:lineRule="auto"/>
            </w:pPr>
            <w:r>
              <w:rPr>
                <w:rFonts w:ascii="Times New Roman" w:hAnsi="Times New Roman" w:eastAsia="微软雅黑"/>
                <w:b w:val="0"/>
                <w:color w:val="000000"/>
                <w:sz w:val="19"/>
              </w:rPr>
              <w:t>企业关注数据保护不等于拒绝本地数据控制。</w:t>
            </w:r>
          </w:p>
        </w:tc>
      </w:tr>
    </w:tbl>
    <w:p w14:paraId="5042380B">
      <w:pPr>
        <w:spacing w:after="160" w:line="276" w:lineRule="auto"/>
      </w:pPr>
    </w:p>
    <w:p w14:paraId="0D2E7059">
      <w:pPr>
        <w:keepNext/>
        <w:spacing w:before="200" w:after="120"/>
      </w:pPr>
      <w:r>
        <w:rPr>
          <w:rFonts w:ascii="Times New Roman" w:hAnsi="Times New Roman" w:eastAsia="微软雅黑"/>
          <w:b/>
          <w:color w:val="000000"/>
          <w:sz w:val="23"/>
        </w:rPr>
        <w:t>42.【答案】D</w:t>
      </w:r>
    </w:p>
    <w:p w14:paraId="7AF3CCBF">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Paragraph 42。</w:t>
      </w:r>
    </w:p>
    <w:p w14:paraId="69F4DEE4">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段首“established itself as a hub for industry talent”提出中心；随后用 UAE 和沙特 AI 工人净流入领先证明，末句“no evidence that war has sent this flow... into reverse”进一步强调方向。【D】的 pipeline has not reversed 是该句的同义概括。</w:t>
      </w:r>
    </w:p>
    <w:p w14:paraId="146E3229">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33317AD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936" w:type="dxa"/>
            <w:shd w:val="clear" w:color="auto" w:fill="1F4E79"/>
          </w:tcPr>
          <w:p w14:paraId="763C508B">
            <w:pPr>
              <w:spacing w:after="40"/>
            </w:pPr>
            <w:r>
              <w:rPr>
                <w:rFonts w:ascii="Times New Roman" w:hAnsi="Times New Roman" w:eastAsia="微软雅黑"/>
                <w:b/>
                <w:color w:val="FFFFFF"/>
                <w:sz w:val="20"/>
              </w:rPr>
              <w:t>选项</w:t>
            </w:r>
          </w:p>
        </w:tc>
        <w:tc>
          <w:tcPr>
            <w:tcW w:w="1224" w:type="dxa"/>
            <w:shd w:val="clear" w:color="auto" w:fill="1F4E79"/>
          </w:tcPr>
          <w:p w14:paraId="7386C342">
            <w:pPr>
              <w:spacing w:after="40"/>
            </w:pPr>
            <w:r>
              <w:rPr>
                <w:rFonts w:ascii="Times New Roman" w:hAnsi="Times New Roman" w:eastAsia="微软雅黑"/>
                <w:b/>
                <w:color w:val="FFFFFF"/>
                <w:sz w:val="20"/>
              </w:rPr>
              <w:t>判断</w:t>
            </w:r>
          </w:p>
        </w:tc>
        <w:tc>
          <w:tcPr>
            <w:tcW w:w="7344" w:type="dxa"/>
            <w:shd w:val="clear" w:color="auto" w:fill="1F4E79"/>
          </w:tcPr>
          <w:p w14:paraId="05B59B23">
            <w:pPr>
              <w:spacing w:after="40"/>
            </w:pPr>
            <w:r>
              <w:rPr>
                <w:rFonts w:ascii="Times New Roman" w:hAnsi="Times New Roman" w:eastAsia="微软雅黑"/>
                <w:b/>
                <w:color w:val="FFFFFF"/>
                <w:sz w:val="20"/>
              </w:rPr>
              <w:t>理由</w:t>
            </w:r>
          </w:p>
        </w:tc>
      </w:tr>
      <w:tr w14:paraId="3A1A0E4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505A8487">
            <w:pPr>
              <w:spacing w:after="40" w:line="259" w:lineRule="auto"/>
            </w:pPr>
            <w:r>
              <w:rPr>
                <w:rFonts w:ascii="Times New Roman" w:hAnsi="Times New Roman" w:eastAsia="微软雅黑"/>
                <w:b w:val="0"/>
                <w:color w:val="000000"/>
                <w:sz w:val="19"/>
              </w:rPr>
              <w:t>A</w:t>
            </w:r>
          </w:p>
        </w:tc>
        <w:tc>
          <w:tcPr>
            <w:tcW w:w="1224" w:type="dxa"/>
          </w:tcPr>
          <w:p w14:paraId="5CE989FE">
            <w:pPr>
              <w:spacing w:after="40" w:line="259" w:lineRule="auto"/>
            </w:pPr>
            <w:r>
              <w:rPr>
                <w:rFonts w:ascii="Times New Roman" w:hAnsi="Times New Roman" w:eastAsia="微软雅黑"/>
                <w:b w:val="0"/>
                <w:color w:val="000000"/>
                <w:sz w:val="19"/>
              </w:rPr>
              <w:t>不能选</w:t>
            </w:r>
          </w:p>
        </w:tc>
        <w:tc>
          <w:tcPr>
            <w:tcW w:w="7344" w:type="dxa"/>
          </w:tcPr>
          <w:p w14:paraId="5FE45AC5">
            <w:pPr>
              <w:spacing w:after="40" w:line="259" w:lineRule="auto"/>
            </w:pPr>
            <w:r>
              <w:rPr>
                <w:rFonts w:ascii="Times New Roman" w:hAnsi="Times New Roman" w:eastAsia="微软雅黑"/>
                <w:b w:val="0"/>
                <w:color w:val="000000"/>
                <w:sz w:val="19"/>
              </w:rPr>
              <w:t>本段没有政策需求。</w:t>
            </w:r>
          </w:p>
        </w:tc>
      </w:tr>
      <w:tr w14:paraId="3924EF5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210327CA">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32C1E65A">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616E96C0">
            <w:pPr>
              <w:spacing w:after="40" w:line="259" w:lineRule="auto"/>
            </w:pPr>
            <w:r>
              <w:rPr>
                <w:rFonts w:ascii="Times New Roman" w:hAnsi="Times New Roman" w:eastAsia="微软雅黑"/>
                <w:b w:val="0"/>
                <w:color w:val="000000"/>
                <w:sz w:val="19"/>
              </w:rPr>
              <w:t>资本主题不属于本段。</w:t>
            </w:r>
          </w:p>
        </w:tc>
      </w:tr>
      <w:tr w14:paraId="1640F4C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7D12D747">
            <w:pPr>
              <w:spacing w:after="40" w:line="259" w:lineRule="auto"/>
            </w:pPr>
            <w:r>
              <w:rPr>
                <w:rFonts w:ascii="Times New Roman" w:hAnsi="Times New Roman" w:eastAsia="微软雅黑"/>
                <w:b w:val="0"/>
                <w:color w:val="000000"/>
                <w:sz w:val="19"/>
              </w:rPr>
              <w:t>C</w:t>
            </w:r>
          </w:p>
        </w:tc>
        <w:tc>
          <w:tcPr>
            <w:tcW w:w="1224" w:type="dxa"/>
          </w:tcPr>
          <w:p w14:paraId="6ECE89D0">
            <w:pPr>
              <w:spacing w:after="40" w:line="259" w:lineRule="auto"/>
            </w:pPr>
            <w:r>
              <w:rPr>
                <w:rFonts w:ascii="Times New Roman" w:hAnsi="Times New Roman" w:eastAsia="微软雅黑"/>
                <w:b w:val="0"/>
                <w:color w:val="000000"/>
                <w:sz w:val="19"/>
              </w:rPr>
              <w:t>不能选</w:t>
            </w:r>
          </w:p>
        </w:tc>
        <w:tc>
          <w:tcPr>
            <w:tcW w:w="7344" w:type="dxa"/>
          </w:tcPr>
          <w:p w14:paraId="5C782437">
            <w:pPr>
              <w:spacing w:after="40" w:line="259" w:lineRule="auto"/>
            </w:pPr>
            <w:r>
              <w:rPr>
                <w:rFonts w:ascii="Times New Roman" w:hAnsi="Times New Roman" w:eastAsia="微软雅黑"/>
                <w:b w:val="0"/>
                <w:color w:val="000000"/>
                <w:sz w:val="19"/>
              </w:rPr>
              <w:t>成本证据在上一段，本段关键词是 talent。</w:t>
            </w:r>
          </w:p>
        </w:tc>
      </w:tr>
      <w:tr w14:paraId="68B1BD2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75E1F495">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77328F66">
            <w:pPr>
              <w:spacing w:after="40" w:line="259" w:lineRule="auto"/>
            </w:pPr>
            <w:r>
              <w:rPr>
                <w:rFonts w:ascii="Times New Roman" w:hAnsi="Times New Roman" w:eastAsia="微软雅黑"/>
                <w:b w:val="0"/>
                <w:color w:val="000000"/>
                <w:sz w:val="19"/>
              </w:rPr>
              <w:t>正确</w:t>
            </w:r>
          </w:p>
        </w:tc>
        <w:tc>
          <w:tcPr>
            <w:tcW w:w="7344" w:type="dxa"/>
            <w:shd w:val="clear" w:color="auto" w:fill="EAF2F8"/>
          </w:tcPr>
          <w:p w14:paraId="358A5801">
            <w:pPr>
              <w:spacing w:after="40" w:line="259" w:lineRule="auto"/>
            </w:pPr>
            <w:r>
              <w:rPr>
                <w:rFonts w:ascii="Times New Roman" w:hAnsi="Times New Roman" w:eastAsia="微软雅黑"/>
                <w:b w:val="0"/>
                <w:color w:val="000000"/>
                <w:sz w:val="19"/>
              </w:rPr>
              <w:t>概括人才持续流入、战争没有逆转的趋势。</w:t>
            </w:r>
          </w:p>
        </w:tc>
      </w:tr>
      <w:tr w14:paraId="2A5CC4E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177B16BE">
            <w:pPr>
              <w:spacing w:after="40" w:line="259" w:lineRule="auto"/>
            </w:pPr>
            <w:r>
              <w:rPr>
                <w:rFonts w:ascii="Times New Roman" w:hAnsi="Times New Roman" w:eastAsia="微软雅黑"/>
                <w:b w:val="0"/>
                <w:color w:val="000000"/>
                <w:sz w:val="19"/>
              </w:rPr>
              <w:t>E</w:t>
            </w:r>
          </w:p>
        </w:tc>
        <w:tc>
          <w:tcPr>
            <w:tcW w:w="1224" w:type="dxa"/>
          </w:tcPr>
          <w:p w14:paraId="651F97F2">
            <w:pPr>
              <w:spacing w:after="40" w:line="259" w:lineRule="auto"/>
            </w:pPr>
            <w:r>
              <w:rPr>
                <w:rFonts w:ascii="Times New Roman" w:hAnsi="Times New Roman" w:eastAsia="微软雅黑"/>
                <w:b w:val="0"/>
                <w:color w:val="000000"/>
                <w:sz w:val="19"/>
              </w:rPr>
              <w:t>不能选</w:t>
            </w:r>
          </w:p>
        </w:tc>
        <w:tc>
          <w:tcPr>
            <w:tcW w:w="7344" w:type="dxa"/>
          </w:tcPr>
          <w:p w14:paraId="5BB70686">
            <w:pPr>
              <w:spacing w:after="40" w:line="259" w:lineRule="auto"/>
            </w:pPr>
            <w:r>
              <w:rPr>
                <w:rFonts w:ascii="Times New Roman" w:hAnsi="Times New Roman" w:eastAsia="微软雅黑"/>
                <w:b w:val="0"/>
                <w:color w:val="000000"/>
                <w:sz w:val="19"/>
              </w:rPr>
              <w:t>公众反对不是本段信息。</w:t>
            </w:r>
          </w:p>
        </w:tc>
      </w:tr>
      <w:tr w14:paraId="274F36C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0DD47132">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4C9800A1">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12EA409B">
            <w:pPr>
              <w:spacing w:after="40" w:line="259" w:lineRule="auto"/>
            </w:pPr>
            <w:r>
              <w:rPr>
                <w:rFonts w:ascii="Times New Roman" w:hAnsi="Times New Roman" w:eastAsia="微软雅黑"/>
                <w:b w:val="0"/>
                <w:color w:val="000000"/>
                <w:sz w:val="19"/>
              </w:rPr>
              <w:t>“战争使人才流动逆转”与原文相反。</w:t>
            </w:r>
          </w:p>
        </w:tc>
      </w:tr>
      <w:tr w14:paraId="55F273E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5FD2C9E3">
            <w:pPr>
              <w:spacing w:after="40" w:line="259" w:lineRule="auto"/>
            </w:pPr>
            <w:r>
              <w:rPr>
                <w:rFonts w:ascii="Times New Roman" w:hAnsi="Times New Roman" w:eastAsia="微软雅黑"/>
                <w:b w:val="0"/>
                <w:color w:val="000000"/>
                <w:sz w:val="19"/>
              </w:rPr>
              <w:t>G</w:t>
            </w:r>
          </w:p>
        </w:tc>
        <w:tc>
          <w:tcPr>
            <w:tcW w:w="1224" w:type="dxa"/>
          </w:tcPr>
          <w:p w14:paraId="500419D4">
            <w:pPr>
              <w:spacing w:after="40" w:line="259" w:lineRule="auto"/>
            </w:pPr>
            <w:r>
              <w:rPr>
                <w:rFonts w:ascii="Times New Roman" w:hAnsi="Times New Roman" w:eastAsia="微软雅黑"/>
                <w:b w:val="0"/>
                <w:color w:val="000000"/>
                <w:sz w:val="19"/>
              </w:rPr>
              <w:t>不能选</w:t>
            </w:r>
          </w:p>
        </w:tc>
        <w:tc>
          <w:tcPr>
            <w:tcW w:w="7344" w:type="dxa"/>
          </w:tcPr>
          <w:p w14:paraId="28979A96">
            <w:pPr>
              <w:spacing w:after="40" w:line="259" w:lineRule="auto"/>
            </w:pPr>
            <w:r>
              <w:rPr>
                <w:rFonts w:ascii="Times New Roman" w:hAnsi="Times New Roman" w:eastAsia="微软雅黑"/>
                <w:b w:val="0"/>
                <w:color w:val="000000"/>
                <w:sz w:val="19"/>
              </w:rPr>
              <w:t>本段不涉及企业拒绝本地数据要求。</w:t>
            </w:r>
          </w:p>
        </w:tc>
      </w:tr>
    </w:tbl>
    <w:p w14:paraId="6425DB60">
      <w:pPr>
        <w:spacing w:after="160" w:line="276" w:lineRule="auto"/>
      </w:pPr>
    </w:p>
    <w:p w14:paraId="2F9DF03D">
      <w:pPr>
        <w:keepNext/>
        <w:spacing w:before="200" w:after="120"/>
      </w:pPr>
      <w:r>
        <w:rPr>
          <w:rFonts w:ascii="Times New Roman" w:hAnsi="Times New Roman" w:eastAsia="微软雅黑"/>
          <w:b/>
          <w:color w:val="000000"/>
          <w:sz w:val="23"/>
        </w:rPr>
        <w:t>43.【答案】B</w:t>
      </w:r>
    </w:p>
    <w:p w14:paraId="2315F90F">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Paragraph 43。</w:t>
      </w:r>
    </w:p>
    <w:p w14:paraId="0C459C69">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“deep pockets”引出 MGX 这一 Emirati state-run fund，并举出 500 亿美元 AI 投资基金；后文说想获得资金的公司会愿意通过在区域内投资来“keep their paymasters happy”。【B】抓住 state-backed capital 与 commitment 的关系，概括资本对建设热潮的支撑。</w:t>
      </w:r>
    </w:p>
    <w:p w14:paraId="63534F45">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657FCA7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936" w:type="dxa"/>
            <w:shd w:val="clear" w:color="auto" w:fill="1F4E79"/>
          </w:tcPr>
          <w:p w14:paraId="0A4B8F25">
            <w:pPr>
              <w:spacing w:after="40"/>
            </w:pPr>
            <w:r>
              <w:rPr>
                <w:rFonts w:ascii="Times New Roman" w:hAnsi="Times New Roman" w:eastAsia="微软雅黑"/>
                <w:b/>
                <w:color w:val="FFFFFF"/>
                <w:sz w:val="20"/>
              </w:rPr>
              <w:t>选项</w:t>
            </w:r>
          </w:p>
        </w:tc>
        <w:tc>
          <w:tcPr>
            <w:tcW w:w="1224" w:type="dxa"/>
            <w:shd w:val="clear" w:color="auto" w:fill="1F4E79"/>
          </w:tcPr>
          <w:p w14:paraId="77737D06">
            <w:pPr>
              <w:spacing w:after="40"/>
            </w:pPr>
            <w:r>
              <w:rPr>
                <w:rFonts w:ascii="Times New Roman" w:hAnsi="Times New Roman" w:eastAsia="微软雅黑"/>
                <w:b/>
                <w:color w:val="FFFFFF"/>
                <w:sz w:val="20"/>
              </w:rPr>
              <w:t>判断</w:t>
            </w:r>
          </w:p>
        </w:tc>
        <w:tc>
          <w:tcPr>
            <w:tcW w:w="7344" w:type="dxa"/>
            <w:shd w:val="clear" w:color="auto" w:fill="1F4E79"/>
          </w:tcPr>
          <w:p w14:paraId="4114037E">
            <w:pPr>
              <w:spacing w:after="40"/>
            </w:pPr>
            <w:r>
              <w:rPr>
                <w:rFonts w:ascii="Times New Roman" w:hAnsi="Times New Roman" w:eastAsia="微软雅黑"/>
                <w:b/>
                <w:color w:val="FFFFFF"/>
                <w:sz w:val="20"/>
              </w:rPr>
              <w:t>理由</w:t>
            </w:r>
          </w:p>
        </w:tc>
      </w:tr>
      <w:tr w14:paraId="6CCACEA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26DE0A09">
            <w:pPr>
              <w:spacing w:after="40" w:line="259" w:lineRule="auto"/>
            </w:pPr>
            <w:r>
              <w:rPr>
                <w:rFonts w:ascii="Times New Roman" w:hAnsi="Times New Roman" w:eastAsia="微软雅黑"/>
                <w:b w:val="0"/>
                <w:color w:val="000000"/>
                <w:sz w:val="19"/>
              </w:rPr>
              <w:t>A</w:t>
            </w:r>
          </w:p>
        </w:tc>
        <w:tc>
          <w:tcPr>
            <w:tcW w:w="1224" w:type="dxa"/>
          </w:tcPr>
          <w:p w14:paraId="28C9BE70">
            <w:pPr>
              <w:spacing w:after="40" w:line="259" w:lineRule="auto"/>
            </w:pPr>
            <w:r>
              <w:rPr>
                <w:rFonts w:ascii="Times New Roman" w:hAnsi="Times New Roman" w:eastAsia="微软雅黑"/>
                <w:b w:val="0"/>
                <w:color w:val="000000"/>
                <w:sz w:val="19"/>
              </w:rPr>
              <w:t>不能选</w:t>
            </w:r>
          </w:p>
        </w:tc>
        <w:tc>
          <w:tcPr>
            <w:tcW w:w="7344" w:type="dxa"/>
          </w:tcPr>
          <w:p w14:paraId="7BF3D975">
            <w:pPr>
              <w:spacing w:after="40" w:line="259" w:lineRule="auto"/>
            </w:pPr>
            <w:r>
              <w:rPr>
                <w:rFonts w:ascii="Times New Roman" w:hAnsi="Times New Roman" w:eastAsia="微软雅黑"/>
                <w:b w:val="0"/>
                <w:color w:val="000000"/>
                <w:sz w:val="19"/>
              </w:rPr>
              <w:t>政策需求是下一段中心。</w:t>
            </w:r>
          </w:p>
        </w:tc>
      </w:tr>
      <w:tr w14:paraId="60A6058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727DDFBA">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0164A134">
            <w:pPr>
              <w:spacing w:after="40" w:line="259" w:lineRule="auto"/>
            </w:pPr>
            <w:r>
              <w:rPr>
                <w:rFonts w:ascii="Times New Roman" w:hAnsi="Times New Roman" w:eastAsia="微软雅黑"/>
                <w:b w:val="0"/>
                <w:color w:val="000000"/>
                <w:sz w:val="19"/>
              </w:rPr>
              <w:t>正确</w:t>
            </w:r>
          </w:p>
        </w:tc>
        <w:tc>
          <w:tcPr>
            <w:tcW w:w="7344" w:type="dxa"/>
            <w:shd w:val="clear" w:color="auto" w:fill="EAF2F8"/>
          </w:tcPr>
          <w:p w14:paraId="00DD5CA8">
            <w:pPr>
              <w:spacing w:after="40" w:line="259" w:lineRule="auto"/>
            </w:pPr>
            <w:r>
              <w:rPr>
                <w:rFonts w:ascii="Times New Roman" w:hAnsi="Times New Roman" w:eastAsia="微软雅黑"/>
                <w:b w:val="0"/>
                <w:color w:val="000000"/>
                <w:sz w:val="19"/>
              </w:rPr>
              <w:t>概括国家基金投入及其对区域投资的吸引。</w:t>
            </w:r>
          </w:p>
        </w:tc>
      </w:tr>
      <w:tr w14:paraId="29A07CB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66F07493">
            <w:pPr>
              <w:spacing w:after="40" w:line="259" w:lineRule="auto"/>
            </w:pPr>
            <w:r>
              <w:rPr>
                <w:rFonts w:ascii="Times New Roman" w:hAnsi="Times New Roman" w:eastAsia="微软雅黑"/>
                <w:b w:val="0"/>
                <w:color w:val="000000"/>
                <w:sz w:val="19"/>
              </w:rPr>
              <w:t>C</w:t>
            </w:r>
          </w:p>
        </w:tc>
        <w:tc>
          <w:tcPr>
            <w:tcW w:w="1224" w:type="dxa"/>
          </w:tcPr>
          <w:p w14:paraId="66A2EBF3">
            <w:pPr>
              <w:spacing w:after="40" w:line="259" w:lineRule="auto"/>
            </w:pPr>
            <w:r>
              <w:rPr>
                <w:rFonts w:ascii="Times New Roman" w:hAnsi="Times New Roman" w:eastAsia="微软雅黑"/>
                <w:b w:val="0"/>
                <w:color w:val="000000"/>
                <w:sz w:val="19"/>
              </w:rPr>
              <w:t>不能选</w:t>
            </w:r>
          </w:p>
        </w:tc>
        <w:tc>
          <w:tcPr>
            <w:tcW w:w="7344" w:type="dxa"/>
          </w:tcPr>
          <w:p w14:paraId="0BFECBC9">
            <w:pPr>
              <w:spacing w:after="40" w:line="259" w:lineRule="auto"/>
            </w:pPr>
            <w:r>
              <w:rPr>
                <w:rFonts w:ascii="Times New Roman" w:hAnsi="Times New Roman" w:eastAsia="微软雅黑"/>
                <w:b w:val="0"/>
                <w:color w:val="000000"/>
                <w:sz w:val="19"/>
              </w:rPr>
              <w:t>本段不是成本比较。</w:t>
            </w:r>
          </w:p>
        </w:tc>
      </w:tr>
      <w:tr w14:paraId="3307A9E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074BF810">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3250A52B">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0E045380">
            <w:pPr>
              <w:spacing w:after="40" w:line="259" w:lineRule="auto"/>
            </w:pPr>
            <w:r>
              <w:rPr>
                <w:rFonts w:ascii="Times New Roman" w:hAnsi="Times New Roman" w:eastAsia="微软雅黑"/>
                <w:b w:val="0"/>
                <w:color w:val="000000"/>
                <w:sz w:val="19"/>
              </w:rPr>
              <w:t>人才不是本段关键词。</w:t>
            </w:r>
          </w:p>
        </w:tc>
      </w:tr>
      <w:tr w14:paraId="2314938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6E801EE8">
            <w:pPr>
              <w:spacing w:after="40" w:line="259" w:lineRule="auto"/>
            </w:pPr>
            <w:r>
              <w:rPr>
                <w:rFonts w:ascii="Times New Roman" w:hAnsi="Times New Roman" w:eastAsia="微软雅黑"/>
                <w:b w:val="0"/>
                <w:color w:val="000000"/>
                <w:sz w:val="19"/>
              </w:rPr>
              <w:t>E</w:t>
            </w:r>
          </w:p>
        </w:tc>
        <w:tc>
          <w:tcPr>
            <w:tcW w:w="1224" w:type="dxa"/>
          </w:tcPr>
          <w:p w14:paraId="75B3779C">
            <w:pPr>
              <w:spacing w:after="40" w:line="259" w:lineRule="auto"/>
            </w:pPr>
            <w:r>
              <w:rPr>
                <w:rFonts w:ascii="Times New Roman" w:hAnsi="Times New Roman" w:eastAsia="微软雅黑"/>
                <w:b w:val="0"/>
                <w:color w:val="000000"/>
                <w:sz w:val="19"/>
              </w:rPr>
              <w:t>不能选</w:t>
            </w:r>
          </w:p>
        </w:tc>
        <w:tc>
          <w:tcPr>
            <w:tcW w:w="7344" w:type="dxa"/>
          </w:tcPr>
          <w:p w14:paraId="2D05130A">
            <w:pPr>
              <w:spacing w:after="40" w:line="259" w:lineRule="auto"/>
            </w:pPr>
            <w:r>
              <w:rPr>
                <w:rFonts w:ascii="Times New Roman" w:hAnsi="Times New Roman" w:eastAsia="微软雅黑"/>
                <w:b w:val="0"/>
                <w:color w:val="000000"/>
                <w:sz w:val="19"/>
              </w:rPr>
              <w:t>公众态度未出现。</w:t>
            </w:r>
          </w:p>
        </w:tc>
      </w:tr>
      <w:tr w14:paraId="76CA5A9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164AF392">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24CD426D">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56D57E73">
            <w:pPr>
              <w:spacing w:after="40" w:line="259" w:lineRule="auto"/>
            </w:pPr>
            <w:r>
              <w:rPr>
                <w:rFonts w:ascii="Times New Roman" w:hAnsi="Times New Roman" w:eastAsia="微软雅黑"/>
                <w:b w:val="0"/>
                <w:color w:val="000000"/>
                <w:sz w:val="19"/>
              </w:rPr>
              <w:t>500 亿美元基金说明资本仍在投入。</w:t>
            </w:r>
          </w:p>
        </w:tc>
      </w:tr>
      <w:tr w14:paraId="6323594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29E22222">
            <w:pPr>
              <w:spacing w:after="40" w:line="259" w:lineRule="auto"/>
            </w:pPr>
            <w:r>
              <w:rPr>
                <w:rFonts w:ascii="Times New Roman" w:hAnsi="Times New Roman" w:eastAsia="微软雅黑"/>
                <w:b w:val="0"/>
                <w:color w:val="000000"/>
                <w:sz w:val="19"/>
              </w:rPr>
              <w:t>G</w:t>
            </w:r>
          </w:p>
        </w:tc>
        <w:tc>
          <w:tcPr>
            <w:tcW w:w="1224" w:type="dxa"/>
          </w:tcPr>
          <w:p w14:paraId="33594D38">
            <w:pPr>
              <w:spacing w:after="40" w:line="259" w:lineRule="auto"/>
            </w:pPr>
            <w:r>
              <w:rPr>
                <w:rFonts w:ascii="Times New Roman" w:hAnsi="Times New Roman" w:eastAsia="微软雅黑"/>
                <w:b w:val="0"/>
                <w:color w:val="000000"/>
                <w:sz w:val="19"/>
              </w:rPr>
              <w:t>不能选</w:t>
            </w:r>
          </w:p>
        </w:tc>
        <w:tc>
          <w:tcPr>
            <w:tcW w:w="7344" w:type="dxa"/>
          </w:tcPr>
          <w:p w14:paraId="55A658D8">
            <w:pPr>
              <w:spacing w:after="40" w:line="259" w:lineRule="auto"/>
            </w:pPr>
            <w:r>
              <w:rPr>
                <w:rFonts w:ascii="Times New Roman" w:hAnsi="Times New Roman" w:eastAsia="微软雅黑"/>
                <w:b w:val="0"/>
                <w:color w:val="000000"/>
                <w:sz w:val="19"/>
              </w:rPr>
              <w:t>本段没有企业抵制本地控制的信息。</w:t>
            </w:r>
          </w:p>
        </w:tc>
      </w:tr>
    </w:tbl>
    <w:p w14:paraId="047B7531">
      <w:pPr>
        <w:spacing w:after="160" w:line="276" w:lineRule="auto"/>
      </w:pPr>
    </w:p>
    <w:p w14:paraId="3163DEC8">
      <w:pPr>
        <w:keepNext/>
        <w:spacing w:before="200" w:after="120"/>
      </w:pPr>
      <w:r>
        <w:rPr>
          <w:rFonts w:ascii="Times New Roman" w:hAnsi="Times New Roman" w:eastAsia="微软雅黑"/>
          <w:b/>
          <w:color w:val="000000"/>
          <w:sz w:val="23"/>
        </w:rPr>
        <w:t>44.【答案】A</w:t>
      </w:r>
    </w:p>
    <w:p w14:paraId="032554A8">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Paragraph 44。</w:t>
      </w:r>
    </w:p>
    <w:p w14:paraId="35D63D29">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段首“Domestic policies... will require more data centres, in effect underwriting demand”就是主题句。随后 UAE 的政府 AI 部署、“operational sovereignty”要求和金融机构本地用云规则，都说明政策直接扩大本地数据中心需求。【A】比单纯说 security 更完整。</w:t>
      </w:r>
    </w:p>
    <w:p w14:paraId="08E63542">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1BBF45E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936" w:type="dxa"/>
            <w:shd w:val="clear" w:color="auto" w:fill="1F4E79"/>
          </w:tcPr>
          <w:p w14:paraId="3C9E3122">
            <w:pPr>
              <w:spacing w:after="40"/>
            </w:pPr>
            <w:r>
              <w:rPr>
                <w:rFonts w:ascii="Times New Roman" w:hAnsi="Times New Roman" w:eastAsia="微软雅黑"/>
                <w:b/>
                <w:color w:val="FFFFFF"/>
                <w:sz w:val="20"/>
              </w:rPr>
              <w:t>选项</w:t>
            </w:r>
          </w:p>
        </w:tc>
        <w:tc>
          <w:tcPr>
            <w:tcW w:w="1224" w:type="dxa"/>
            <w:shd w:val="clear" w:color="auto" w:fill="1F4E79"/>
          </w:tcPr>
          <w:p w14:paraId="6B3F6355">
            <w:pPr>
              <w:spacing w:after="40"/>
            </w:pPr>
            <w:r>
              <w:rPr>
                <w:rFonts w:ascii="Times New Roman" w:hAnsi="Times New Roman" w:eastAsia="微软雅黑"/>
                <w:b/>
                <w:color w:val="FFFFFF"/>
                <w:sz w:val="20"/>
              </w:rPr>
              <w:t>判断</w:t>
            </w:r>
          </w:p>
        </w:tc>
        <w:tc>
          <w:tcPr>
            <w:tcW w:w="7344" w:type="dxa"/>
            <w:shd w:val="clear" w:color="auto" w:fill="1F4E79"/>
          </w:tcPr>
          <w:p w14:paraId="7431AF2B">
            <w:pPr>
              <w:spacing w:after="40"/>
            </w:pPr>
            <w:r>
              <w:rPr>
                <w:rFonts w:ascii="Times New Roman" w:hAnsi="Times New Roman" w:eastAsia="微软雅黑"/>
                <w:b/>
                <w:color w:val="FFFFFF"/>
                <w:sz w:val="20"/>
              </w:rPr>
              <w:t>理由</w:t>
            </w:r>
          </w:p>
        </w:tc>
      </w:tr>
      <w:tr w14:paraId="70932CA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3D4831D0">
            <w:pPr>
              <w:spacing w:after="40" w:line="259" w:lineRule="auto"/>
            </w:pPr>
            <w:r>
              <w:rPr>
                <w:rFonts w:ascii="Times New Roman" w:hAnsi="Times New Roman" w:eastAsia="微软雅黑"/>
                <w:b w:val="0"/>
                <w:color w:val="000000"/>
                <w:sz w:val="19"/>
              </w:rPr>
              <w:t>A</w:t>
            </w:r>
          </w:p>
        </w:tc>
        <w:tc>
          <w:tcPr>
            <w:tcW w:w="1224" w:type="dxa"/>
          </w:tcPr>
          <w:p w14:paraId="06F13466">
            <w:pPr>
              <w:spacing w:after="40" w:line="259" w:lineRule="auto"/>
            </w:pPr>
            <w:r>
              <w:rPr>
                <w:rFonts w:ascii="Times New Roman" w:hAnsi="Times New Roman" w:eastAsia="微软雅黑"/>
                <w:b w:val="0"/>
                <w:color w:val="000000"/>
                <w:sz w:val="19"/>
              </w:rPr>
              <w:t>正确</w:t>
            </w:r>
          </w:p>
        </w:tc>
        <w:tc>
          <w:tcPr>
            <w:tcW w:w="7344" w:type="dxa"/>
          </w:tcPr>
          <w:p w14:paraId="432E96A5">
            <w:pPr>
              <w:spacing w:after="40" w:line="259" w:lineRule="auto"/>
            </w:pPr>
            <w:r>
              <w:rPr>
                <w:rFonts w:ascii="Times New Roman" w:hAnsi="Times New Roman" w:eastAsia="微软雅黑"/>
                <w:b w:val="0"/>
                <w:color w:val="000000"/>
                <w:sz w:val="19"/>
              </w:rPr>
              <w:t>概括政府政策对需求的强化。</w:t>
            </w:r>
          </w:p>
        </w:tc>
      </w:tr>
      <w:tr w14:paraId="579B8D8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0A664B76">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4A9349B7">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4C013631">
            <w:pPr>
              <w:spacing w:after="40" w:line="259" w:lineRule="auto"/>
            </w:pPr>
            <w:r>
              <w:rPr>
                <w:rFonts w:ascii="Times New Roman" w:hAnsi="Times New Roman" w:eastAsia="微软雅黑"/>
                <w:b w:val="0"/>
                <w:color w:val="000000"/>
                <w:sz w:val="19"/>
              </w:rPr>
              <w:t>MGX 资本属于上一段。</w:t>
            </w:r>
          </w:p>
        </w:tc>
      </w:tr>
      <w:tr w14:paraId="1BC8DE6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6E8574AD">
            <w:pPr>
              <w:spacing w:after="40" w:line="259" w:lineRule="auto"/>
            </w:pPr>
            <w:r>
              <w:rPr>
                <w:rFonts w:ascii="Times New Roman" w:hAnsi="Times New Roman" w:eastAsia="微软雅黑"/>
                <w:b w:val="0"/>
                <w:color w:val="000000"/>
                <w:sz w:val="19"/>
              </w:rPr>
              <w:t>C</w:t>
            </w:r>
          </w:p>
        </w:tc>
        <w:tc>
          <w:tcPr>
            <w:tcW w:w="1224" w:type="dxa"/>
          </w:tcPr>
          <w:p w14:paraId="56037AC1">
            <w:pPr>
              <w:spacing w:after="40" w:line="259" w:lineRule="auto"/>
            </w:pPr>
            <w:r>
              <w:rPr>
                <w:rFonts w:ascii="Times New Roman" w:hAnsi="Times New Roman" w:eastAsia="微软雅黑"/>
                <w:b w:val="0"/>
                <w:color w:val="000000"/>
                <w:sz w:val="19"/>
              </w:rPr>
              <w:t>不能选</w:t>
            </w:r>
          </w:p>
        </w:tc>
        <w:tc>
          <w:tcPr>
            <w:tcW w:w="7344" w:type="dxa"/>
          </w:tcPr>
          <w:p w14:paraId="415A8A22">
            <w:pPr>
              <w:spacing w:after="40" w:line="259" w:lineRule="auto"/>
            </w:pPr>
            <w:r>
              <w:rPr>
                <w:rFonts w:ascii="Times New Roman" w:hAnsi="Times New Roman" w:eastAsia="微软雅黑"/>
                <w:b w:val="0"/>
                <w:color w:val="000000"/>
                <w:sz w:val="19"/>
              </w:rPr>
              <w:t>本段不以成本为中心。</w:t>
            </w:r>
          </w:p>
        </w:tc>
      </w:tr>
      <w:tr w14:paraId="746B6DB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00303D43">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0C5A4F67">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6E0881DC">
            <w:pPr>
              <w:spacing w:after="40" w:line="259" w:lineRule="auto"/>
            </w:pPr>
            <w:r>
              <w:rPr>
                <w:rFonts w:ascii="Times New Roman" w:hAnsi="Times New Roman" w:eastAsia="微软雅黑"/>
                <w:b w:val="0"/>
                <w:color w:val="000000"/>
                <w:sz w:val="19"/>
              </w:rPr>
              <w:t>人才主题与本段无关。</w:t>
            </w:r>
          </w:p>
        </w:tc>
      </w:tr>
      <w:tr w14:paraId="7FB2B95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0C18D446">
            <w:pPr>
              <w:spacing w:after="40" w:line="259" w:lineRule="auto"/>
            </w:pPr>
            <w:r>
              <w:rPr>
                <w:rFonts w:ascii="Times New Roman" w:hAnsi="Times New Roman" w:eastAsia="微软雅黑"/>
                <w:b w:val="0"/>
                <w:color w:val="000000"/>
                <w:sz w:val="19"/>
              </w:rPr>
              <w:t>E</w:t>
            </w:r>
          </w:p>
        </w:tc>
        <w:tc>
          <w:tcPr>
            <w:tcW w:w="1224" w:type="dxa"/>
          </w:tcPr>
          <w:p w14:paraId="724CD0F2">
            <w:pPr>
              <w:spacing w:after="40" w:line="259" w:lineRule="auto"/>
            </w:pPr>
            <w:r>
              <w:rPr>
                <w:rFonts w:ascii="Times New Roman" w:hAnsi="Times New Roman" w:eastAsia="微软雅黑"/>
                <w:b w:val="0"/>
                <w:color w:val="000000"/>
                <w:sz w:val="19"/>
              </w:rPr>
              <w:t>不能选</w:t>
            </w:r>
          </w:p>
        </w:tc>
        <w:tc>
          <w:tcPr>
            <w:tcW w:w="7344" w:type="dxa"/>
          </w:tcPr>
          <w:p w14:paraId="085CF488">
            <w:pPr>
              <w:spacing w:after="40" w:line="259" w:lineRule="auto"/>
            </w:pPr>
            <w:r>
              <w:rPr>
                <w:rFonts w:ascii="Times New Roman" w:hAnsi="Times New Roman" w:eastAsia="微软雅黑"/>
                <w:b w:val="0"/>
                <w:color w:val="000000"/>
                <w:sz w:val="19"/>
              </w:rPr>
              <w:t>公众态度属于后段。</w:t>
            </w:r>
          </w:p>
        </w:tc>
      </w:tr>
      <w:tr w14:paraId="1674E9C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0CFE2406">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79E26E50">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53F32348">
            <w:pPr>
              <w:spacing w:after="40" w:line="259" w:lineRule="auto"/>
            </w:pPr>
            <w:r>
              <w:rPr>
                <w:rFonts w:ascii="Times New Roman" w:hAnsi="Times New Roman" w:eastAsia="微软雅黑"/>
                <w:b w:val="0"/>
                <w:color w:val="000000"/>
                <w:sz w:val="19"/>
              </w:rPr>
              <w:t>政策正在支撑需求，而非停止建设。</w:t>
            </w:r>
          </w:p>
        </w:tc>
      </w:tr>
      <w:tr w14:paraId="3830922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2066BEA3">
            <w:pPr>
              <w:spacing w:after="40" w:line="259" w:lineRule="auto"/>
            </w:pPr>
            <w:r>
              <w:rPr>
                <w:rFonts w:ascii="Times New Roman" w:hAnsi="Times New Roman" w:eastAsia="微软雅黑"/>
                <w:b w:val="0"/>
                <w:color w:val="000000"/>
                <w:sz w:val="19"/>
              </w:rPr>
              <w:t>G</w:t>
            </w:r>
          </w:p>
        </w:tc>
        <w:tc>
          <w:tcPr>
            <w:tcW w:w="1224" w:type="dxa"/>
          </w:tcPr>
          <w:p w14:paraId="4193517A">
            <w:pPr>
              <w:spacing w:after="40" w:line="259" w:lineRule="auto"/>
            </w:pPr>
            <w:r>
              <w:rPr>
                <w:rFonts w:ascii="Times New Roman" w:hAnsi="Times New Roman" w:eastAsia="微软雅黑"/>
                <w:b w:val="0"/>
                <w:color w:val="000000"/>
                <w:sz w:val="19"/>
              </w:rPr>
              <w:t>不能选</w:t>
            </w:r>
          </w:p>
        </w:tc>
        <w:tc>
          <w:tcPr>
            <w:tcW w:w="7344" w:type="dxa"/>
          </w:tcPr>
          <w:p w14:paraId="386BDDEA">
            <w:pPr>
              <w:spacing w:after="40" w:line="259" w:lineRule="auto"/>
            </w:pPr>
            <w:r>
              <w:rPr>
                <w:rFonts w:ascii="Times New Roman" w:hAnsi="Times New Roman" w:eastAsia="微软雅黑"/>
                <w:b w:val="0"/>
                <w:color w:val="000000"/>
                <w:sz w:val="19"/>
              </w:rPr>
              <w:t>数据主权要求支持本地建设，不表示拒绝控制。</w:t>
            </w:r>
          </w:p>
        </w:tc>
      </w:tr>
    </w:tbl>
    <w:p w14:paraId="7243456D">
      <w:pPr>
        <w:spacing w:after="160" w:line="276" w:lineRule="auto"/>
      </w:pPr>
    </w:p>
    <w:p w14:paraId="5125AAB5">
      <w:pPr>
        <w:keepNext/>
        <w:spacing w:before="200" w:after="120"/>
      </w:pPr>
      <w:r>
        <w:rPr>
          <w:rFonts w:ascii="Times New Roman" w:hAnsi="Times New Roman" w:eastAsia="微软雅黑"/>
          <w:b/>
          <w:color w:val="000000"/>
          <w:sz w:val="23"/>
        </w:rPr>
        <w:t>45.【答案】E</w:t>
      </w:r>
    </w:p>
    <w:p w14:paraId="28683860">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Paragraph 45。</w:t>
      </w:r>
    </w:p>
    <w:p w14:paraId="64C0ECDD">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段首用“little of the public opposition”确立中心，再以西方居民反感和美国竞选策略作对照；末句借高管之口指出“centralised decision making”有帮助。【E】同时保留 resistance 和 limited 的限定，比“没有反对”更准确。</w:t>
      </w:r>
    </w:p>
    <w:p w14:paraId="453BAAD4">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31DDCE7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936" w:type="dxa"/>
            <w:shd w:val="clear" w:color="auto" w:fill="1F4E79"/>
          </w:tcPr>
          <w:p w14:paraId="3FC2996C">
            <w:pPr>
              <w:spacing w:after="40"/>
            </w:pPr>
            <w:r>
              <w:rPr>
                <w:rFonts w:ascii="Times New Roman" w:hAnsi="Times New Roman" w:eastAsia="微软雅黑"/>
                <w:b/>
                <w:color w:val="FFFFFF"/>
                <w:sz w:val="20"/>
              </w:rPr>
              <w:t>选项</w:t>
            </w:r>
          </w:p>
        </w:tc>
        <w:tc>
          <w:tcPr>
            <w:tcW w:w="1224" w:type="dxa"/>
            <w:shd w:val="clear" w:color="auto" w:fill="1F4E79"/>
          </w:tcPr>
          <w:p w14:paraId="6651A0AE">
            <w:pPr>
              <w:spacing w:after="40"/>
            </w:pPr>
            <w:r>
              <w:rPr>
                <w:rFonts w:ascii="Times New Roman" w:hAnsi="Times New Roman" w:eastAsia="微软雅黑"/>
                <w:b/>
                <w:color w:val="FFFFFF"/>
                <w:sz w:val="20"/>
              </w:rPr>
              <w:t>判断</w:t>
            </w:r>
          </w:p>
        </w:tc>
        <w:tc>
          <w:tcPr>
            <w:tcW w:w="7344" w:type="dxa"/>
            <w:shd w:val="clear" w:color="auto" w:fill="1F4E79"/>
          </w:tcPr>
          <w:p w14:paraId="2ED2EF03">
            <w:pPr>
              <w:spacing w:after="40"/>
            </w:pPr>
            <w:r>
              <w:rPr>
                <w:rFonts w:ascii="Times New Roman" w:hAnsi="Times New Roman" w:eastAsia="微软雅黑"/>
                <w:b/>
                <w:color w:val="FFFFFF"/>
                <w:sz w:val="20"/>
              </w:rPr>
              <w:t>理由</w:t>
            </w:r>
          </w:p>
        </w:tc>
      </w:tr>
      <w:tr w14:paraId="038AC4F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10620E54">
            <w:pPr>
              <w:spacing w:after="40" w:line="259" w:lineRule="auto"/>
            </w:pPr>
            <w:r>
              <w:rPr>
                <w:rFonts w:ascii="Times New Roman" w:hAnsi="Times New Roman" w:eastAsia="微软雅黑"/>
                <w:b w:val="0"/>
                <w:color w:val="000000"/>
                <w:sz w:val="19"/>
              </w:rPr>
              <w:t>A</w:t>
            </w:r>
          </w:p>
        </w:tc>
        <w:tc>
          <w:tcPr>
            <w:tcW w:w="1224" w:type="dxa"/>
          </w:tcPr>
          <w:p w14:paraId="20BCACA4">
            <w:pPr>
              <w:spacing w:after="40" w:line="259" w:lineRule="auto"/>
            </w:pPr>
            <w:r>
              <w:rPr>
                <w:rFonts w:ascii="Times New Roman" w:hAnsi="Times New Roman" w:eastAsia="微软雅黑"/>
                <w:b w:val="0"/>
                <w:color w:val="000000"/>
                <w:sz w:val="19"/>
              </w:rPr>
              <w:t>不能选</w:t>
            </w:r>
          </w:p>
        </w:tc>
        <w:tc>
          <w:tcPr>
            <w:tcW w:w="7344" w:type="dxa"/>
          </w:tcPr>
          <w:p w14:paraId="55E534F9">
            <w:pPr>
              <w:spacing w:after="40" w:line="259" w:lineRule="auto"/>
            </w:pPr>
            <w:r>
              <w:rPr>
                <w:rFonts w:ascii="Times New Roman" w:hAnsi="Times New Roman" w:eastAsia="微软雅黑"/>
                <w:b w:val="0"/>
                <w:color w:val="000000"/>
                <w:sz w:val="19"/>
              </w:rPr>
              <w:t>政策需求是上一段中心。</w:t>
            </w:r>
          </w:p>
        </w:tc>
      </w:tr>
      <w:tr w14:paraId="0D38628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20578B0C">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15539F93">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3FEFE9B2">
            <w:pPr>
              <w:spacing w:after="40" w:line="259" w:lineRule="auto"/>
            </w:pPr>
            <w:r>
              <w:rPr>
                <w:rFonts w:ascii="Times New Roman" w:hAnsi="Times New Roman" w:eastAsia="微软雅黑"/>
                <w:b w:val="0"/>
                <w:color w:val="000000"/>
                <w:sz w:val="19"/>
              </w:rPr>
              <w:t>资本主题不是本段重点。</w:t>
            </w:r>
          </w:p>
        </w:tc>
      </w:tr>
      <w:tr w14:paraId="4F57345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300F3FB5">
            <w:pPr>
              <w:spacing w:after="40" w:line="259" w:lineRule="auto"/>
            </w:pPr>
            <w:r>
              <w:rPr>
                <w:rFonts w:ascii="Times New Roman" w:hAnsi="Times New Roman" w:eastAsia="微软雅黑"/>
                <w:b w:val="0"/>
                <w:color w:val="000000"/>
                <w:sz w:val="19"/>
              </w:rPr>
              <w:t>C</w:t>
            </w:r>
          </w:p>
        </w:tc>
        <w:tc>
          <w:tcPr>
            <w:tcW w:w="1224" w:type="dxa"/>
          </w:tcPr>
          <w:p w14:paraId="25263688">
            <w:pPr>
              <w:spacing w:after="40" w:line="259" w:lineRule="auto"/>
            </w:pPr>
            <w:r>
              <w:rPr>
                <w:rFonts w:ascii="Times New Roman" w:hAnsi="Times New Roman" w:eastAsia="微软雅黑"/>
                <w:b w:val="0"/>
                <w:color w:val="000000"/>
                <w:sz w:val="19"/>
              </w:rPr>
              <w:t>不能选</w:t>
            </w:r>
          </w:p>
        </w:tc>
        <w:tc>
          <w:tcPr>
            <w:tcW w:w="7344" w:type="dxa"/>
          </w:tcPr>
          <w:p w14:paraId="79D42C00">
            <w:pPr>
              <w:spacing w:after="40" w:line="259" w:lineRule="auto"/>
            </w:pPr>
            <w:r>
              <w:rPr>
                <w:rFonts w:ascii="Times New Roman" w:hAnsi="Times New Roman" w:eastAsia="微软雅黑"/>
                <w:b w:val="0"/>
                <w:color w:val="000000"/>
                <w:sz w:val="19"/>
              </w:rPr>
              <w:t>本段不是成本比较。</w:t>
            </w:r>
          </w:p>
        </w:tc>
      </w:tr>
      <w:tr w14:paraId="5197382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466BB23B">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01E70183">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5E6A5933">
            <w:pPr>
              <w:spacing w:after="40" w:line="259" w:lineRule="auto"/>
            </w:pPr>
            <w:r>
              <w:rPr>
                <w:rFonts w:ascii="Times New Roman" w:hAnsi="Times New Roman" w:eastAsia="微软雅黑"/>
                <w:b w:val="0"/>
                <w:color w:val="000000"/>
                <w:sz w:val="19"/>
              </w:rPr>
              <w:t>人才主题与本段无关。</w:t>
            </w:r>
          </w:p>
        </w:tc>
      </w:tr>
      <w:tr w14:paraId="0C42A26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4D8F5F76">
            <w:pPr>
              <w:spacing w:after="40" w:line="259" w:lineRule="auto"/>
            </w:pPr>
            <w:r>
              <w:rPr>
                <w:rFonts w:ascii="Times New Roman" w:hAnsi="Times New Roman" w:eastAsia="微软雅黑"/>
                <w:b w:val="0"/>
                <w:color w:val="000000"/>
                <w:sz w:val="19"/>
              </w:rPr>
              <w:t>E</w:t>
            </w:r>
          </w:p>
        </w:tc>
        <w:tc>
          <w:tcPr>
            <w:tcW w:w="1224" w:type="dxa"/>
          </w:tcPr>
          <w:p w14:paraId="0FD272B9">
            <w:pPr>
              <w:spacing w:after="40" w:line="259" w:lineRule="auto"/>
            </w:pPr>
            <w:r>
              <w:rPr>
                <w:rFonts w:ascii="Times New Roman" w:hAnsi="Times New Roman" w:eastAsia="微软雅黑"/>
                <w:b w:val="0"/>
                <w:color w:val="000000"/>
                <w:sz w:val="19"/>
              </w:rPr>
              <w:t>正确</w:t>
            </w:r>
          </w:p>
        </w:tc>
        <w:tc>
          <w:tcPr>
            <w:tcW w:w="7344" w:type="dxa"/>
          </w:tcPr>
          <w:p w14:paraId="1592A84A">
            <w:pPr>
              <w:spacing w:after="40" w:line="259" w:lineRule="auto"/>
            </w:pPr>
            <w:r>
              <w:rPr>
                <w:rFonts w:ascii="Times New Roman" w:hAnsi="Times New Roman" w:eastAsia="微软雅黑"/>
                <w:b w:val="0"/>
                <w:color w:val="000000"/>
                <w:sz w:val="19"/>
              </w:rPr>
              <w:t>概括公众阻力有限和集中决策降低阻力的现实。</w:t>
            </w:r>
          </w:p>
        </w:tc>
      </w:tr>
      <w:tr w14:paraId="7DA0991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24F76823">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6BC5FB30">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7AF1D93D">
            <w:pPr>
              <w:spacing w:after="40" w:line="259" w:lineRule="auto"/>
            </w:pPr>
            <w:r>
              <w:rPr>
                <w:rFonts w:ascii="Times New Roman" w:hAnsi="Times New Roman" w:eastAsia="微软雅黑"/>
                <w:b w:val="0"/>
                <w:color w:val="000000"/>
                <w:sz w:val="19"/>
              </w:rPr>
              <w:t>本段继续解释建设条件，不支持全面停建。</w:t>
            </w:r>
          </w:p>
        </w:tc>
      </w:tr>
      <w:tr w14:paraId="3345A34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5D40D0C1">
            <w:pPr>
              <w:spacing w:after="40" w:line="259" w:lineRule="auto"/>
            </w:pPr>
            <w:r>
              <w:rPr>
                <w:rFonts w:ascii="Times New Roman" w:hAnsi="Times New Roman" w:eastAsia="微软雅黑"/>
                <w:b w:val="0"/>
                <w:color w:val="000000"/>
                <w:sz w:val="19"/>
              </w:rPr>
              <w:t>G</w:t>
            </w:r>
          </w:p>
        </w:tc>
        <w:tc>
          <w:tcPr>
            <w:tcW w:w="1224" w:type="dxa"/>
          </w:tcPr>
          <w:p w14:paraId="1EC280CC">
            <w:pPr>
              <w:spacing w:after="40" w:line="259" w:lineRule="auto"/>
            </w:pPr>
            <w:r>
              <w:rPr>
                <w:rFonts w:ascii="Times New Roman" w:hAnsi="Times New Roman" w:eastAsia="微软雅黑"/>
                <w:b w:val="0"/>
                <w:color w:val="000000"/>
                <w:sz w:val="19"/>
              </w:rPr>
              <w:t>不能选</w:t>
            </w:r>
          </w:p>
        </w:tc>
        <w:tc>
          <w:tcPr>
            <w:tcW w:w="7344" w:type="dxa"/>
          </w:tcPr>
          <w:p w14:paraId="3E3D12AB">
            <w:pPr>
              <w:spacing w:after="40" w:line="259" w:lineRule="auto"/>
            </w:pPr>
            <w:r>
              <w:rPr>
                <w:rFonts w:ascii="Times New Roman" w:hAnsi="Times New Roman" w:eastAsia="微软雅黑"/>
                <w:b w:val="0"/>
                <w:color w:val="000000"/>
                <w:sz w:val="19"/>
              </w:rPr>
              <w:t>本段说的是西方公众反对，而非企业拒绝数据控制。</w:t>
            </w:r>
          </w:p>
        </w:tc>
      </w:tr>
    </w:tbl>
    <w:p w14:paraId="31337975">
      <w:pPr>
        <w:spacing w:after="160" w:line="276" w:lineRule="auto"/>
      </w:pPr>
    </w:p>
    <w:p w14:paraId="39630B90">
      <w:pPr>
        <w:keepNext/>
        <w:spacing w:before="200" w:after="120"/>
      </w:pPr>
      <w:r>
        <w:rPr>
          <w:rFonts w:ascii="Times New Roman" w:hAnsi="Times New Roman" w:eastAsia="微软雅黑"/>
          <w:b/>
          <w:color w:val="000000"/>
          <w:sz w:val="24"/>
        </w:rPr>
        <w:t>干扰项设置</w:t>
      </w:r>
    </w:p>
    <w:p w14:paraId="7CE7B189">
      <w:pPr>
        <w:spacing w:after="160" w:line="276" w:lineRule="auto"/>
        <w:rPr>
          <w:rFonts w:ascii="Times New Roman" w:hAnsi="Times New Roman" w:eastAsia="微软雅黑"/>
          <w:b w:val="0"/>
          <w:color w:val="000000"/>
          <w:sz w:val="21"/>
        </w:rPr>
      </w:pPr>
      <w:r>
        <w:rPr>
          <w:rFonts w:ascii="Times New Roman" w:hAnsi="Times New Roman" w:eastAsia="微软雅黑"/>
          <w:b w:val="0"/>
          <w:color w:val="000000"/>
          <w:sz w:val="21"/>
        </w:rPr>
        <w:t>【F】利用战争语境把“没有停止”夸大为“全部停止”；【G】利用 data protection 和 sovereignty 复现原词，却把“要求本地主权管控”反写成“企业拒绝管控”。两者都需要用段落方向和限定词排除。</w:t>
      </w:r>
    </w:p>
    <w:p w14:paraId="1C0016B8">
      <w:pPr>
        <w:spacing w:after="160" w:line="276" w:lineRule="auto"/>
        <w:rPr>
          <w:rFonts w:ascii="Times New Roman" w:hAnsi="Times New Roman" w:eastAsia="微软雅黑"/>
          <w:b w:val="0"/>
          <w:color w:val="000000"/>
          <w:sz w:val="21"/>
        </w:rPr>
      </w:pPr>
    </w:p>
    <w:p w14:paraId="73A56118">
      <w:pPr>
        <w:jc w:val="center"/>
        <w:rPr>
          <w:color w:val="969696"/>
        </w:rPr>
      </w:pPr>
      <w:r>
        <w:rPr>
          <w:color w:val="969696"/>
        </w:rPr>
        <w:t>— — — — — — — — — —</w:t>
      </w:r>
    </w:p>
    <w:p w14:paraId="7AD80686">
      <w:pPr>
        <w:jc w:val="both"/>
        <w:rPr>
          <w:color w:val="969696"/>
        </w:rPr>
      </w:pPr>
    </w:p>
    <w:p w14:paraId="1E9BE640">
      <w:pPr>
        <w:rPr>
          <w:rFonts w:hint="default"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本文档由我们自研的考研英语新题型大模型生成。该模型基于近10年考研英语真题进行训练。我们会根据同学们的反馈持续优化模型能力。目前是在测试阶段，该题型仅提供到12月底。</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05E28C4F">
      <w:pPr>
        <w:spacing w:after="160" w:line="276" w:lineRule="auto"/>
        <w:rPr>
          <w:rFonts w:ascii="Times New Roman" w:hAnsi="Times New Roman" w:eastAsia="微软雅黑"/>
          <w:b w:val="0"/>
          <w:color w:val="000000"/>
          <w:sz w:val="21"/>
        </w:rPr>
      </w:pPr>
      <w:bookmarkStart w:id="0" w:name="_GoBack"/>
      <w:bookmarkEnd w:id="0"/>
    </w:p>
    <w:sectPr>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524742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2089</Words>
  <Characters>4614</Characters>
  <Lines>0</Lines>
  <Paragraphs>0</Paragraphs>
  <TotalTime>0</TotalTime>
  <ScaleCrop>false</ScaleCrop>
  <LinksUpToDate>false</LinksUpToDate>
  <CharactersWithSpaces>5222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2026-09-13T15:08:47Z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2052-12.1.0.28505</vt:lpwstr>
  </property>
  <property fmtid="{D5CDD505-2E9C-101B-9397-08002B2CF9AE}" pid="4" name="ICV">
    <vt:lpwstr>6D0F56918B014C109594A241A5F0FF7E_12</vt:lpwstr>
  </property>
</Properties>
</file>