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CB11D">
      <w:pPr>
        <w:keepNext/>
        <w:spacing w:before="200" w:after="120"/>
      </w:pPr>
      <w:r>
        <w:rPr>
          <w:rFonts w:ascii="Times New Roman" w:hAnsi="Times New Roman" w:eastAsia="微软雅黑"/>
          <w:b/>
          <w:color w:val="000000"/>
          <w:sz w:val="26"/>
        </w:rPr>
        <w:t>Part B</w:t>
      </w:r>
    </w:p>
    <w:p w14:paraId="6E7EFC85">
      <w:pPr>
        <w:spacing w:after="60" w:line="276" w:lineRule="auto"/>
      </w:pPr>
      <w:r>
        <w:rPr>
          <w:rFonts w:ascii="Times New Roman" w:hAnsi="Times New Roman" w:eastAsia="微软雅黑"/>
          <w:b/>
          <w:color w:val="000000"/>
          <w:sz w:val="21"/>
        </w:rPr>
        <w:t>Directions:</w:t>
      </w:r>
    </w:p>
    <w:p w14:paraId="4D775CBF">
      <w:pPr>
        <w:spacing w:after="240" w:line="276" w:lineRule="auto"/>
      </w:pPr>
      <w:r>
        <w:rPr>
          <w:rFonts w:ascii="Times New Roman" w:hAnsi="Times New Roman" w:eastAsia="微软雅黑"/>
          <w:b w:val="0"/>
          <w:color w:val="000000"/>
          <w:sz w:val="21"/>
        </w:rPr>
        <w:t>The following paragraphs are given in a wrong order. For Questions 41-45, you are required to reorganize these paragraphs into a coherent text by choosing from the list A-H and filling them into the numbered boxes. Paragraphs E, B and H have been correctly placed. Mark your answers on the ANSWER SHEET. (10 points)</w:t>
      </w:r>
    </w:p>
    <w:p w14:paraId="06C1B306">
      <w:pPr>
        <w:spacing w:after="120" w:line="278" w:lineRule="auto"/>
      </w:pPr>
      <w:r>
        <w:rPr>
          <w:rFonts w:ascii="Times New Roman" w:hAnsi="Times New Roman" w:eastAsia="微软雅黑"/>
          <w:b/>
          <w:color w:val="000000"/>
          <w:sz w:val="21"/>
        </w:rPr>
        <w:t xml:space="preserve">[A] </w:t>
      </w:r>
      <w:r>
        <w:rPr>
          <w:rFonts w:ascii="Times New Roman" w:hAnsi="Times New Roman" w:eastAsia="微软雅黑"/>
          <w:b w:val="0"/>
          <w:color w:val="000000"/>
          <w:sz w:val="21"/>
        </w:rPr>
        <w:t>The Register of British Slave Traders, revealed exclusively in the Guardian, shows women from across society played an active role in financing and sustaining the transatlantic trafficking of enslaved Africans. Investors ranged from queens and princesses to titled nobility, merchants, shopkeepers and cowherds.</w:t>
      </w:r>
    </w:p>
    <w:p w14:paraId="68FF881A">
      <w:pPr>
        <w:spacing w:after="120" w:line="278" w:lineRule="auto"/>
      </w:pPr>
      <w:r>
        <w:rPr>
          <w:rFonts w:ascii="Times New Roman" w:hAnsi="Times New Roman" w:eastAsia="微软雅黑"/>
          <w:b/>
          <w:color w:val="000000"/>
          <w:sz w:val="21"/>
        </w:rPr>
        <w:t xml:space="preserve">[B] </w:t>
      </w:r>
      <w:r>
        <w:rPr>
          <w:rFonts w:ascii="Times New Roman" w:hAnsi="Times New Roman" w:eastAsia="微软雅黑"/>
          <w:b w:val="0"/>
          <w:color w:val="000000"/>
          <w:sz w:val="21"/>
        </w:rPr>
        <w:t>Lila O’Leary Chambers, a lecturer at the University of Cambridge who researched women’s involvement for the register project, said: “This research really shows that this was not just a flash in the pan. Across the entirety of the Royal African Company and its various guises, there were women contributing financially and expecting a financial return from the slave trade.”</w:t>
      </w:r>
    </w:p>
    <w:p w14:paraId="68834C68">
      <w:pPr>
        <w:spacing w:after="120" w:line="278" w:lineRule="auto"/>
      </w:pPr>
      <w:r>
        <w:rPr>
          <w:rFonts w:ascii="Times New Roman" w:hAnsi="Times New Roman" w:eastAsia="微软雅黑"/>
          <w:b/>
          <w:color w:val="000000"/>
          <w:sz w:val="21"/>
        </w:rPr>
        <w:t xml:space="preserve">[C] </w:t>
      </w:r>
      <w:r>
        <w:rPr>
          <w:rFonts w:ascii="Times New Roman" w:hAnsi="Times New Roman" w:eastAsia="微软雅黑"/>
          <w:b w:val="0"/>
          <w:color w:val="000000"/>
          <w:sz w:val="21"/>
        </w:rPr>
        <w:t>Under English law, women who were single or widowed were in control of their own property and could operate as legal persons while married women could not. “That becomes really important for the Royal African Company as it stutters between financial crises,” Chambers said. “Women provided this important well of capital.”</w:t>
      </w:r>
    </w:p>
    <w:p w14:paraId="7009271A">
      <w:pPr>
        <w:spacing w:after="120" w:line="278" w:lineRule="auto"/>
      </w:pPr>
      <w:r>
        <w:rPr>
          <w:rFonts w:ascii="Times New Roman" w:hAnsi="Times New Roman" w:eastAsia="微软雅黑"/>
          <w:b/>
          <w:color w:val="000000"/>
          <w:sz w:val="21"/>
        </w:rPr>
        <w:t xml:space="preserve">[D] </w:t>
      </w:r>
      <w:r>
        <w:rPr>
          <w:rFonts w:ascii="Times New Roman" w:hAnsi="Times New Roman" w:eastAsia="微软雅黑"/>
          <w:b w:val="0"/>
          <w:color w:val="000000"/>
          <w:sz w:val="21"/>
        </w:rPr>
        <w:t>Women invested from the earliest years of enslavement, from Queen Elizabeth I’s backing in the 1560s to Lady Craven’s £1,000 loan financing a voyage to the Gambia through the Guinea Company. Some investors, unable to write their names, signed company records with a spidery “X”.</w:t>
      </w:r>
    </w:p>
    <w:p w14:paraId="7D4018D9">
      <w:pPr>
        <w:spacing w:after="120" w:line="278" w:lineRule="auto"/>
      </w:pPr>
      <w:r>
        <w:rPr>
          <w:rFonts w:ascii="Times New Roman" w:hAnsi="Times New Roman" w:eastAsia="微软雅黑"/>
          <w:b/>
          <w:color w:val="000000"/>
          <w:sz w:val="21"/>
        </w:rPr>
        <w:t xml:space="preserve">[E] </w:t>
      </w:r>
      <w:r>
        <w:rPr>
          <w:rFonts w:ascii="Times New Roman" w:hAnsi="Times New Roman" w:eastAsia="微软雅黑"/>
          <w:b w:val="0"/>
          <w:color w:val="000000"/>
          <w:sz w:val="21"/>
        </w:rPr>
        <w:t>More than 1,000 women invested in the slave trade, challenging the conventional notion that they were passive beneficiaries and largely fought for its abolition. Researchers found women bought, sold and brokered shares in the Royal African Company (RAC), South Sea Company, and other separate ventures, and used profits from the trafficking of enslaved Africans to secure financial independence and provide for their families. By the time the RAC, which trafficked about 150,000 enslaved people, was dissolved in 1752, women made up about 10% of shareholders.</w:t>
      </w:r>
    </w:p>
    <w:p w14:paraId="6C840D52">
      <w:pPr>
        <w:spacing w:after="120" w:line="278" w:lineRule="auto"/>
      </w:pPr>
      <w:r>
        <w:rPr>
          <w:rFonts w:ascii="Times New Roman" w:hAnsi="Times New Roman" w:eastAsia="微软雅黑"/>
          <w:b/>
          <w:color w:val="000000"/>
          <w:sz w:val="21"/>
        </w:rPr>
        <w:t xml:space="preserve">[F] </w:t>
      </w:r>
      <w:r>
        <w:rPr>
          <w:rFonts w:ascii="Times New Roman" w:hAnsi="Times New Roman" w:eastAsia="微软雅黑"/>
          <w:b w:val="0"/>
          <w:color w:val="000000"/>
          <w:sz w:val="21"/>
        </w:rPr>
        <w:t>The research also found that because female investors seemingly did not vote or hold board positions, they often relied on informal efforts to influence and shape a company. Meeting minutes show women acting as witnesses, running the meeting house, delivering the goods exchanged for African lives, petitioning for wages, passing information and, most importantly, lending money and buying and selling shares.</w:t>
      </w:r>
    </w:p>
    <w:p w14:paraId="5D567BEB">
      <w:pPr>
        <w:spacing w:after="120" w:line="278" w:lineRule="auto"/>
      </w:pPr>
      <w:r>
        <w:rPr>
          <w:rFonts w:ascii="Times New Roman" w:hAnsi="Times New Roman" w:eastAsia="微软雅黑"/>
          <w:b/>
          <w:color w:val="000000"/>
          <w:sz w:val="21"/>
        </w:rPr>
        <w:t xml:space="preserve">[G] </w:t>
      </w:r>
      <w:r>
        <w:rPr>
          <w:rFonts w:ascii="Times New Roman" w:hAnsi="Times New Roman" w:eastAsia="微软雅黑"/>
          <w:b w:val="0"/>
          <w:color w:val="000000"/>
          <w:sz w:val="21"/>
        </w:rPr>
        <w:t>The archives include letters in which women discuss profits from “African stock”, while company records show one investor, Helen Gladman, asking the RAC to transport a young African girl from Sherbrooke Island in Sierra Leone to England to serve in her household. Researchers found women were involved “at almost every level” of the company’s activities. They acted as brokers, supplied goods traded on Africa’s Atlantic coast, managed company property and used their familial and social networks to strengthen the company’s finances and political influence.</w:t>
      </w:r>
    </w:p>
    <w:p w14:paraId="19548084">
      <w:pPr>
        <w:spacing w:after="120" w:line="278" w:lineRule="auto"/>
      </w:pPr>
      <w:r>
        <w:rPr>
          <w:rFonts w:ascii="Times New Roman" w:hAnsi="Times New Roman" w:eastAsia="微软雅黑"/>
          <w:b/>
          <w:color w:val="000000"/>
          <w:sz w:val="21"/>
        </w:rPr>
        <w:t xml:space="preserve">[H] </w:t>
      </w:r>
      <w:r>
        <w:rPr>
          <w:rFonts w:ascii="Times New Roman" w:hAnsi="Times New Roman" w:eastAsia="微软雅黑"/>
          <w:b w:val="0"/>
          <w:color w:val="000000"/>
          <w:sz w:val="21"/>
        </w:rPr>
        <w:t>In the early 18th century, the RAC secretary, John Perry, wrote to female investors urging them to exchange company debts for shares and persuade friends and relatives to do the same. Chambers said: “That is a financial project, but it is also a political one, because he knows that they might not hold official positions, but women were very influential with their family members and with the way companies were perceived.”</w:t>
      </w:r>
    </w:p>
    <w:p w14:paraId="6FA59234">
      <w:pPr>
        <w:spacing w:after="120" w:line="276" w:lineRule="auto"/>
        <w:jc w:val="center"/>
      </w:pPr>
      <w:r>
        <w:rPr>
          <w:rFonts w:ascii="Times New Roman" w:hAnsi="Times New Roman" w:eastAsia="微软雅黑"/>
          <w:b/>
          <w:color w:val="000000"/>
          <w:sz w:val="21"/>
        </w:rPr>
        <w:t>E   |   41   |   42   |   43   |   B   |   44   |   45   |   H</w:t>
      </w:r>
    </w:p>
    <w:p w14:paraId="2FD61B92">
      <w:r>
        <w:br w:type="page"/>
      </w:r>
    </w:p>
    <w:p w14:paraId="7852E3FA">
      <w:pPr>
        <w:keepNext/>
        <w:spacing w:before="280" w:after="120"/>
      </w:pPr>
      <w:r>
        <w:rPr>
          <w:rFonts w:ascii="Times New Roman" w:hAnsi="Times New Roman" w:eastAsia="微软雅黑"/>
          <w:b/>
          <w:color w:val="000000"/>
          <w:sz w:val="28"/>
        </w:rPr>
        <w:t>答案与解析</w:t>
      </w:r>
    </w:p>
    <w:p w14:paraId="62A90821">
      <w:pPr>
        <w:keepNext/>
        <w:spacing w:before="200" w:after="120"/>
      </w:pPr>
      <w:r>
        <w:rPr>
          <w:rFonts w:ascii="Times New Roman" w:hAnsi="Times New Roman" w:eastAsia="微软雅黑"/>
          <w:b/>
          <w:color w:val="000000"/>
          <w:sz w:val="24"/>
        </w:rPr>
        <w:t>答案速查</w:t>
      </w:r>
    </w:p>
    <w:p w14:paraId="36684BCA">
      <w:pPr>
        <w:spacing w:after="200" w:line="276" w:lineRule="auto"/>
      </w:pPr>
      <w:r>
        <w:rPr>
          <w:rFonts w:ascii="Times New Roman" w:hAnsi="Times New Roman" w:eastAsia="微软雅黑"/>
          <w:b/>
          <w:color w:val="000000"/>
          <w:sz w:val="21"/>
        </w:rPr>
        <w:t>41. A    42. G    43. D    44. F    45. C</w:t>
      </w:r>
    </w:p>
    <w:p w14:paraId="51C3B7D7">
      <w:pPr>
        <w:keepNext/>
        <w:spacing w:before="200" w:after="120"/>
      </w:pPr>
      <w:r>
        <w:rPr>
          <w:rFonts w:ascii="Times New Roman" w:hAnsi="Times New Roman" w:eastAsia="微软雅黑"/>
          <w:b/>
          <w:color w:val="000000"/>
          <w:sz w:val="24"/>
        </w:rPr>
        <w:t>文章与命题分析</w:t>
      </w:r>
    </w:p>
    <w:p w14:paraId="235AE13C">
      <w:pPr>
        <w:spacing w:after="80" w:line="276" w:lineRule="auto"/>
      </w:pPr>
      <w:r>
        <w:rPr>
          <w:rFonts w:ascii="Times New Roman" w:hAnsi="Times New Roman" w:eastAsia="微软雅黑"/>
          <w:b w:val="0"/>
          <w:color w:val="000000"/>
          <w:sz w:val="21"/>
        </w:rPr>
        <w:t>文章主旨：新研究利用奴隶贸易公司档案证明，女性并非只是奴隶制的被动受益者或废奴推动者，而是曾长期投资、经营信息并从中获利。</w:t>
      </w:r>
    </w:p>
    <w:p w14:paraId="1A5CF0FD">
      <w:pPr>
        <w:spacing w:after="80" w:line="276" w:lineRule="auto"/>
      </w:pPr>
      <w:r>
        <w:rPr>
          <w:rFonts w:ascii="Times New Roman" w:hAnsi="Times New Roman" w:eastAsia="微软雅黑"/>
          <w:b w:val="0"/>
          <w:color w:val="000000"/>
          <w:sz w:val="21"/>
        </w:rPr>
        <w:t>结构脉络：研究总发现 → 登记册显示参与面广 → 档案证据和具体活动 → 研究者强调持续性 → 早期投资实例 → 非正式影响方式 → 法律地位解释资本供给 → 公司主动动员女性投资者。</w:t>
      </w:r>
    </w:p>
    <w:p w14:paraId="3F8EE41B">
      <w:pPr>
        <w:spacing w:after="80" w:line="276" w:lineRule="auto"/>
      </w:pPr>
      <w:r>
        <w:rPr>
          <w:rFonts w:ascii="Times New Roman" w:hAnsi="Times New Roman" w:eastAsia="微软雅黑"/>
          <w:b w:val="0"/>
          <w:color w:val="000000"/>
          <w:sz w:val="21"/>
        </w:rPr>
        <w:t>题型适配：全文有“研究发现—证据—评价—历史扩展—机制—法律背景—公司策略”的推进链，段落间代词、人物和时间线清楚，适合段落排序。</w:t>
      </w:r>
    </w:p>
    <w:p w14:paraId="052B65DF">
      <w:pPr>
        <w:spacing w:after="200" w:line="276" w:lineRule="auto"/>
      </w:pPr>
      <w:r>
        <w:rPr>
          <w:rFonts w:ascii="Times New Roman" w:hAnsi="Times New Roman" w:eastAsia="微软雅黑"/>
          <w:b w:val="0"/>
          <w:color w:val="000000"/>
          <w:sz w:val="21"/>
        </w:rPr>
        <w:t>解题入口：先固定 E、B 和 H；由 E 的 researchers found 引出 A 的 Register；再由档案证据进入 B 的 research really shows，最后用 C 的法律地位解释 H 中公司为何向女性筹集资本。</w:t>
      </w:r>
    </w:p>
    <w:p w14:paraId="3FA34363">
      <w:pPr>
        <w:keepNext/>
        <w:spacing w:before="200" w:after="120"/>
      </w:pPr>
      <w:r>
        <w:rPr>
          <w:rFonts w:ascii="Times New Roman" w:hAnsi="Times New Roman" w:eastAsia="微软雅黑"/>
          <w:b/>
          <w:color w:val="000000"/>
          <w:sz w:val="24"/>
        </w:rPr>
        <w:t>选项总览</w:t>
      </w:r>
    </w:p>
    <w:p w14:paraId="4E764CA2">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写登记册揭示女性参与范围，承接研究总发现。</w:t>
      </w:r>
    </w:p>
    <w:p w14:paraId="4A4A1FCC">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写单身、寡居和已婚女性的法律财产地位，解释资本来源。</w:t>
      </w:r>
    </w:p>
    <w:p w14:paraId="53537072">
      <w:pPr>
        <w:spacing w:after="80"/>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写从16世纪到贷款远航的早期投资实例。</w:t>
      </w:r>
    </w:p>
    <w:p w14:paraId="034D0D9F">
      <w:pPr>
        <w:spacing w:after="80"/>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写女性缺少正式职位时通过非正式方式影响公司。</w:t>
      </w:r>
    </w:p>
    <w:p w14:paraId="2D01A38F">
      <w:pPr>
        <w:spacing w:after="80"/>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写信件、公司记录和多种经营活动，提供档案证据。</w:t>
      </w:r>
    </w:p>
    <w:p w14:paraId="5353497E">
      <w:pPr>
        <w:spacing w:after="120" w:line="276" w:lineRule="auto"/>
      </w:pPr>
    </w:p>
    <w:p w14:paraId="64677D5E">
      <w:pPr>
        <w:keepNext/>
        <w:spacing w:before="200" w:after="120"/>
      </w:pPr>
      <w:r>
        <w:rPr>
          <w:rFonts w:ascii="Times New Roman" w:hAnsi="Times New Roman" w:eastAsia="微软雅黑"/>
          <w:b/>
          <w:color w:val="000000"/>
          <w:sz w:val="23"/>
        </w:rPr>
        <w:t>41.【答案】A</w:t>
      </w:r>
    </w:p>
    <w:p w14:paraId="435C108F">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固定段E之后；空位42前。</w:t>
      </w:r>
    </w:p>
    <w:p w14:paraId="6222A04C">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E段提出 More than 1,000 women invested，并点名 RAC、South Sea Company 等对象；【A】首句的 Register of British Slave Traders 说明证据来源，shows women from across society 把总量发现扩展到阶层广度。它也为后文档案证据和研究者评价铺垫。</w:t>
      </w:r>
    </w:p>
    <w:p w14:paraId="463F816F">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63701D0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4A3BCA1A">
            <w:pPr>
              <w:spacing w:after="40"/>
            </w:pPr>
            <w:r>
              <w:rPr>
                <w:rFonts w:ascii="Times New Roman" w:hAnsi="Times New Roman" w:eastAsia="微软雅黑"/>
                <w:b/>
                <w:color w:val="FFFFFF"/>
                <w:sz w:val="20"/>
              </w:rPr>
              <w:t>选项</w:t>
            </w:r>
          </w:p>
        </w:tc>
        <w:tc>
          <w:tcPr>
            <w:tcW w:w="1224" w:type="dxa"/>
            <w:shd w:val="clear" w:color="auto" w:fill="1F4E79"/>
          </w:tcPr>
          <w:p w14:paraId="56267500">
            <w:pPr>
              <w:spacing w:after="40"/>
            </w:pPr>
            <w:r>
              <w:rPr>
                <w:rFonts w:ascii="Times New Roman" w:hAnsi="Times New Roman" w:eastAsia="微软雅黑"/>
                <w:b/>
                <w:color w:val="FFFFFF"/>
                <w:sz w:val="20"/>
              </w:rPr>
              <w:t>判断</w:t>
            </w:r>
          </w:p>
        </w:tc>
        <w:tc>
          <w:tcPr>
            <w:tcW w:w="7344" w:type="dxa"/>
            <w:shd w:val="clear" w:color="auto" w:fill="1F4E79"/>
          </w:tcPr>
          <w:p w14:paraId="7BEDA05B">
            <w:pPr>
              <w:spacing w:after="40"/>
            </w:pPr>
            <w:r>
              <w:rPr>
                <w:rFonts w:ascii="Times New Roman" w:hAnsi="Times New Roman" w:eastAsia="微软雅黑"/>
                <w:b/>
                <w:color w:val="FFFFFF"/>
                <w:sz w:val="20"/>
              </w:rPr>
              <w:t>理由</w:t>
            </w:r>
          </w:p>
        </w:tc>
      </w:tr>
      <w:tr w14:paraId="3DB034B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14EEC8C">
            <w:pPr>
              <w:spacing w:after="40" w:line="259" w:lineRule="auto"/>
            </w:pPr>
            <w:r>
              <w:rPr>
                <w:rFonts w:ascii="Times New Roman" w:hAnsi="Times New Roman" w:eastAsia="微软雅黑"/>
                <w:b w:val="0"/>
                <w:color w:val="000000"/>
                <w:sz w:val="19"/>
              </w:rPr>
              <w:t>A</w:t>
            </w:r>
          </w:p>
        </w:tc>
        <w:tc>
          <w:tcPr>
            <w:tcW w:w="1224" w:type="dxa"/>
          </w:tcPr>
          <w:p w14:paraId="0EF480D9">
            <w:pPr>
              <w:spacing w:after="40" w:line="259" w:lineRule="auto"/>
            </w:pPr>
            <w:r>
              <w:rPr>
                <w:rFonts w:ascii="Times New Roman" w:hAnsi="Times New Roman" w:eastAsia="微软雅黑"/>
                <w:b w:val="0"/>
                <w:color w:val="000000"/>
                <w:sz w:val="19"/>
              </w:rPr>
              <w:t>正确</w:t>
            </w:r>
          </w:p>
        </w:tc>
        <w:tc>
          <w:tcPr>
            <w:tcW w:w="7344" w:type="dxa"/>
          </w:tcPr>
          <w:p w14:paraId="02A756CC">
            <w:pPr>
              <w:spacing w:after="40" w:line="259" w:lineRule="auto"/>
            </w:pPr>
            <w:r>
              <w:rPr>
                <w:rFonts w:ascii="Times New Roman" w:hAnsi="Times New Roman" w:eastAsia="微软雅黑"/>
                <w:b w:val="0"/>
                <w:color w:val="000000"/>
                <w:sz w:val="19"/>
              </w:rPr>
              <w:t>由研究结论进入登记册证据和参与范围。</w:t>
            </w:r>
          </w:p>
        </w:tc>
      </w:tr>
      <w:tr w14:paraId="07277D8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6D86D8C">
            <w:pPr>
              <w:spacing w:after="40" w:line="259" w:lineRule="auto"/>
            </w:pPr>
            <w:r>
              <w:rPr>
                <w:rFonts w:ascii="Times New Roman" w:hAnsi="Times New Roman" w:eastAsia="微软雅黑"/>
                <w:b w:val="0"/>
                <w:color w:val="000000"/>
                <w:sz w:val="19"/>
              </w:rPr>
              <w:t>C</w:t>
            </w:r>
          </w:p>
        </w:tc>
        <w:tc>
          <w:tcPr>
            <w:tcW w:w="1224" w:type="dxa"/>
            <w:shd w:val="clear" w:color="auto" w:fill="EAF2F8"/>
          </w:tcPr>
          <w:p w14:paraId="33CE2DD7">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7D3B051">
            <w:pPr>
              <w:spacing w:after="40" w:line="259" w:lineRule="auto"/>
            </w:pPr>
            <w:r>
              <w:rPr>
                <w:rFonts w:ascii="Times New Roman" w:hAnsi="Times New Roman" w:eastAsia="微软雅黑"/>
                <w:b w:val="0"/>
                <w:color w:val="000000"/>
                <w:sz w:val="19"/>
              </w:rPr>
              <w:t>法律地位应放在公司融资机制分析之后。</w:t>
            </w:r>
          </w:p>
        </w:tc>
      </w:tr>
      <w:tr w14:paraId="38F64DA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84857FB">
            <w:pPr>
              <w:spacing w:after="40" w:line="259" w:lineRule="auto"/>
            </w:pPr>
            <w:r>
              <w:rPr>
                <w:rFonts w:ascii="Times New Roman" w:hAnsi="Times New Roman" w:eastAsia="微软雅黑"/>
                <w:b w:val="0"/>
                <w:color w:val="000000"/>
                <w:sz w:val="19"/>
              </w:rPr>
              <w:t>D</w:t>
            </w:r>
          </w:p>
        </w:tc>
        <w:tc>
          <w:tcPr>
            <w:tcW w:w="1224" w:type="dxa"/>
          </w:tcPr>
          <w:p w14:paraId="671F06FE">
            <w:pPr>
              <w:spacing w:after="40" w:line="259" w:lineRule="auto"/>
            </w:pPr>
            <w:r>
              <w:rPr>
                <w:rFonts w:ascii="Times New Roman" w:hAnsi="Times New Roman" w:eastAsia="微软雅黑"/>
                <w:b w:val="0"/>
                <w:color w:val="000000"/>
                <w:sz w:val="19"/>
              </w:rPr>
              <w:t>不能选</w:t>
            </w:r>
          </w:p>
        </w:tc>
        <w:tc>
          <w:tcPr>
            <w:tcW w:w="7344" w:type="dxa"/>
          </w:tcPr>
          <w:p w14:paraId="45613247">
            <w:pPr>
              <w:spacing w:after="40" w:line="259" w:lineRule="auto"/>
            </w:pPr>
            <w:r>
              <w:rPr>
                <w:rFonts w:ascii="Times New Roman" w:hAnsi="Times New Roman" w:eastAsia="微软雅黑"/>
                <w:b w:val="0"/>
                <w:color w:val="000000"/>
                <w:sz w:val="19"/>
              </w:rPr>
              <w:t>早期实例需要先交代研究证据的总体范围。</w:t>
            </w:r>
          </w:p>
        </w:tc>
      </w:tr>
      <w:tr w14:paraId="7A86AC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950D31C">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1AABE15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B716BA7">
            <w:pPr>
              <w:spacing w:after="40" w:line="259" w:lineRule="auto"/>
            </w:pPr>
            <w:r>
              <w:rPr>
                <w:rFonts w:ascii="Times New Roman" w:hAnsi="Times New Roman" w:eastAsia="微软雅黑"/>
                <w:b w:val="0"/>
                <w:color w:val="000000"/>
                <w:sz w:val="19"/>
              </w:rPr>
              <w:t>非正式影响是档案证据之后的深化，不宜紧接总发现。</w:t>
            </w:r>
          </w:p>
        </w:tc>
      </w:tr>
      <w:tr w14:paraId="7945A4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0AA0107">
            <w:pPr>
              <w:spacing w:after="40" w:line="259" w:lineRule="auto"/>
            </w:pPr>
            <w:r>
              <w:rPr>
                <w:rFonts w:ascii="Times New Roman" w:hAnsi="Times New Roman" w:eastAsia="微软雅黑"/>
                <w:b w:val="0"/>
                <w:color w:val="000000"/>
                <w:sz w:val="19"/>
              </w:rPr>
              <w:t>G</w:t>
            </w:r>
          </w:p>
        </w:tc>
        <w:tc>
          <w:tcPr>
            <w:tcW w:w="1224" w:type="dxa"/>
          </w:tcPr>
          <w:p w14:paraId="7315AA74">
            <w:pPr>
              <w:spacing w:after="40" w:line="259" w:lineRule="auto"/>
            </w:pPr>
            <w:r>
              <w:rPr>
                <w:rFonts w:ascii="Times New Roman" w:hAnsi="Times New Roman" w:eastAsia="微软雅黑"/>
                <w:b w:val="0"/>
                <w:color w:val="000000"/>
                <w:sz w:val="19"/>
              </w:rPr>
              <w:t>不能选</w:t>
            </w:r>
          </w:p>
        </w:tc>
        <w:tc>
          <w:tcPr>
            <w:tcW w:w="7344" w:type="dxa"/>
          </w:tcPr>
          <w:p w14:paraId="06CFF822">
            <w:pPr>
              <w:spacing w:after="40" w:line="259" w:lineRule="auto"/>
            </w:pPr>
            <w:r>
              <w:rPr>
                <w:rFonts w:ascii="Times New Roman" w:hAnsi="Times New Roman" w:eastAsia="微软雅黑"/>
                <w:b w:val="0"/>
                <w:color w:val="000000"/>
                <w:sz w:val="19"/>
              </w:rPr>
              <w:t>【G】的具体档案更适合在【A】确立登记册范围后出现。</w:t>
            </w:r>
          </w:p>
        </w:tc>
      </w:tr>
    </w:tbl>
    <w:p w14:paraId="47DE59DD">
      <w:pPr>
        <w:spacing w:after="160" w:line="276" w:lineRule="auto"/>
      </w:pPr>
    </w:p>
    <w:p w14:paraId="3A43D844">
      <w:pPr>
        <w:keepNext/>
        <w:spacing w:before="200" w:after="120"/>
      </w:pPr>
      <w:r>
        <w:rPr>
          <w:rFonts w:ascii="Times New Roman" w:hAnsi="Times New Roman" w:eastAsia="微软雅黑"/>
          <w:b/>
          <w:color w:val="000000"/>
          <w:sz w:val="23"/>
        </w:rPr>
        <w:t>42.【答案】G</w:t>
      </w:r>
    </w:p>
    <w:p w14:paraId="6098A0EB">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空位42；空位43和固定段B前。</w:t>
      </w:r>
    </w:p>
    <w:p w14:paraId="692E8CC9">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【A】已说明登记册显示女性广泛参与；【G】的 archives include letters 和 company records 把“登记”推进到具体证据，并写明女性担任 broker、供应货物、管理财产和动员社会网络。这些活动也为固定段 B 中 contributing financially and expecting a financial return 提供支撑。</w:t>
      </w:r>
    </w:p>
    <w:p w14:paraId="07DEF9E3">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7780F8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2D0BC450">
            <w:pPr>
              <w:spacing w:after="40"/>
            </w:pPr>
            <w:r>
              <w:rPr>
                <w:rFonts w:ascii="Times New Roman" w:hAnsi="Times New Roman" w:eastAsia="微软雅黑"/>
                <w:b/>
                <w:color w:val="FFFFFF"/>
                <w:sz w:val="20"/>
              </w:rPr>
              <w:t>选项</w:t>
            </w:r>
          </w:p>
        </w:tc>
        <w:tc>
          <w:tcPr>
            <w:tcW w:w="1224" w:type="dxa"/>
            <w:shd w:val="clear" w:color="auto" w:fill="1F4E79"/>
          </w:tcPr>
          <w:p w14:paraId="498593AD">
            <w:pPr>
              <w:spacing w:after="40"/>
            </w:pPr>
            <w:r>
              <w:rPr>
                <w:rFonts w:ascii="Times New Roman" w:hAnsi="Times New Roman" w:eastAsia="微软雅黑"/>
                <w:b/>
                <w:color w:val="FFFFFF"/>
                <w:sz w:val="20"/>
              </w:rPr>
              <w:t>判断</w:t>
            </w:r>
          </w:p>
        </w:tc>
        <w:tc>
          <w:tcPr>
            <w:tcW w:w="7344" w:type="dxa"/>
            <w:shd w:val="clear" w:color="auto" w:fill="1F4E79"/>
          </w:tcPr>
          <w:p w14:paraId="2A97C3DD">
            <w:pPr>
              <w:spacing w:after="40"/>
            </w:pPr>
            <w:r>
              <w:rPr>
                <w:rFonts w:ascii="Times New Roman" w:hAnsi="Times New Roman" w:eastAsia="微软雅黑"/>
                <w:b/>
                <w:color w:val="FFFFFF"/>
                <w:sz w:val="20"/>
              </w:rPr>
              <w:t>理由</w:t>
            </w:r>
          </w:p>
        </w:tc>
      </w:tr>
      <w:tr w14:paraId="1870DA1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7E15B7C">
            <w:pPr>
              <w:spacing w:after="40" w:line="259" w:lineRule="auto"/>
            </w:pPr>
            <w:r>
              <w:rPr>
                <w:rFonts w:ascii="Times New Roman" w:hAnsi="Times New Roman" w:eastAsia="微软雅黑"/>
                <w:b w:val="0"/>
                <w:color w:val="000000"/>
                <w:sz w:val="19"/>
              </w:rPr>
              <w:t>A</w:t>
            </w:r>
          </w:p>
        </w:tc>
        <w:tc>
          <w:tcPr>
            <w:tcW w:w="1224" w:type="dxa"/>
          </w:tcPr>
          <w:p w14:paraId="13C5926D">
            <w:pPr>
              <w:spacing w:after="40" w:line="259" w:lineRule="auto"/>
            </w:pPr>
            <w:r>
              <w:rPr>
                <w:rFonts w:ascii="Times New Roman" w:hAnsi="Times New Roman" w:eastAsia="微软雅黑"/>
                <w:b w:val="0"/>
                <w:color w:val="000000"/>
                <w:sz w:val="19"/>
              </w:rPr>
              <w:t>不能选</w:t>
            </w:r>
          </w:p>
        </w:tc>
        <w:tc>
          <w:tcPr>
            <w:tcW w:w="7344" w:type="dxa"/>
          </w:tcPr>
          <w:p w14:paraId="540DF09D">
            <w:pPr>
              <w:spacing w:after="40" w:line="259" w:lineRule="auto"/>
            </w:pPr>
            <w:r>
              <w:rPr>
                <w:rFonts w:ascii="Times New Roman" w:hAnsi="Times New Roman" w:eastAsia="微软雅黑"/>
                <w:b w:val="0"/>
                <w:color w:val="000000"/>
                <w:sz w:val="19"/>
              </w:rPr>
              <w:t>【A】已在41空完成，不能重复充当证据段。</w:t>
            </w:r>
          </w:p>
        </w:tc>
      </w:tr>
      <w:tr w14:paraId="58760A2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7105A8F4">
            <w:pPr>
              <w:spacing w:after="40" w:line="259" w:lineRule="auto"/>
            </w:pPr>
            <w:r>
              <w:rPr>
                <w:rFonts w:ascii="Times New Roman" w:hAnsi="Times New Roman" w:eastAsia="微软雅黑"/>
                <w:b w:val="0"/>
                <w:color w:val="000000"/>
                <w:sz w:val="19"/>
              </w:rPr>
              <w:t>C</w:t>
            </w:r>
          </w:p>
        </w:tc>
        <w:tc>
          <w:tcPr>
            <w:tcW w:w="1224" w:type="dxa"/>
            <w:shd w:val="clear" w:color="auto" w:fill="EAF2F8"/>
          </w:tcPr>
          <w:p w14:paraId="7D1E9825">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B32AD22">
            <w:pPr>
              <w:spacing w:after="40" w:line="259" w:lineRule="auto"/>
            </w:pPr>
            <w:r>
              <w:rPr>
                <w:rFonts w:ascii="Times New Roman" w:hAnsi="Times New Roman" w:eastAsia="微软雅黑"/>
                <w:b w:val="0"/>
                <w:color w:val="000000"/>
                <w:sz w:val="19"/>
              </w:rPr>
              <w:t>法律地位是对影响机制的进一步解释，应在后文出现。</w:t>
            </w:r>
          </w:p>
        </w:tc>
      </w:tr>
      <w:tr w14:paraId="6375FD4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A685F35">
            <w:pPr>
              <w:spacing w:after="40" w:line="259" w:lineRule="auto"/>
            </w:pPr>
            <w:r>
              <w:rPr>
                <w:rFonts w:ascii="Times New Roman" w:hAnsi="Times New Roman" w:eastAsia="微软雅黑"/>
                <w:b w:val="0"/>
                <w:color w:val="000000"/>
                <w:sz w:val="19"/>
              </w:rPr>
              <w:t>D</w:t>
            </w:r>
          </w:p>
        </w:tc>
        <w:tc>
          <w:tcPr>
            <w:tcW w:w="1224" w:type="dxa"/>
          </w:tcPr>
          <w:p w14:paraId="57E30833">
            <w:pPr>
              <w:spacing w:after="40" w:line="259" w:lineRule="auto"/>
            </w:pPr>
            <w:r>
              <w:rPr>
                <w:rFonts w:ascii="Times New Roman" w:hAnsi="Times New Roman" w:eastAsia="微软雅黑"/>
                <w:b w:val="0"/>
                <w:color w:val="000000"/>
                <w:sz w:val="19"/>
              </w:rPr>
              <w:t>不能选</w:t>
            </w:r>
          </w:p>
        </w:tc>
        <w:tc>
          <w:tcPr>
            <w:tcW w:w="7344" w:type="dxa"/>
          </w:tcPr>
          <w:p w14:paraId="3A59C987">
            <w:pPr>
              <w:spacing w:after="40" w:line="259" w:lineRule="auto"/>
            </w:pPr>
            <w:r>
              <w:rPr>
                <w:rFonts w:ascii="Times New Roman" w:hAnsi="Times New Roman" w:eastAsia="微软雅黑"/>
                <w:b w:val="0"/>
                <w:color w:val="000000"/>
                <w:sz w:val="19"/>
              </w:rPr>
              <w:t>早期年代实例更适合放在研究者评价之后扩展时间线。</w:t>
            </w:r>
          </w:p>
        </w:tc>
      </w:tr>
      <w:tr w14:paraId="05C1C2F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3605657">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51873AD8">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2BD4127">
            <w:pPr>
              <w:spacing w:after="40" w:line="259" w:lineRule="auto"/>
            </w:pPr>
            <w:r>
              <w:rPr>
                <w:rFonts w:ascii="Times New Roman" w:hAnsi="Times New Roman" w:eastAsia="微软雅黑"/>
                <w:b w:val="0"/>
                <w:color w:val="000000"/>
                <w:sz w:val="19"/>
              </w:rPr>
              <w:t>meeting minutes 可与【G】衔接，但【G】先呈现档案证据更自然。</w:t>
            </w:r>
          </w:p>
        </w:tc>
      </w:tr>
      <w:tr w14:paraId="73AA4C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D888E65">
            <w:pPr>
              <w:spacing w:after="40" w:line="259" w:lineRule="auto"/>
            </w:pPr>
            <w:r>
              <w:rPr>
                <w:rFonts w:ascii="Times New Roman" w:hAnsi="Times New Roman" w:eastAsia="微软雅黑"/>
                <w:b w:val="0"/>
                <w:color w:val="000000"/>
                <w:sz w:val="19"/>
              </w:rPr>
              <w:t>G</w:t>
            </w:r>
          </w:p>
        </w:tc>
        <w:tc>
          <w:tcPr>
            <w:tcW w:w="1224" w:type="dxa"/>
          </w:tcPr>
          <w:p w14:paraId="71BB66EC">
            <w:pPr>
              <w:spacing w:after="40" w:line="259" w:lineRule="auto"/>
            </w:pPr>
            <w:r>
              <w:rPr>
                <w:rFonts w:ascii="Times New Roman" w:hAnsi="Times New Roman" w:eastAsia="微软雅黑"/>
                <w:b w:val="0"/>
                <w:color w:val="000000"/>
                <w:sz w:val="19"/>
              </w:rPr>
              <w:t>正确</w:t>
            </w:r>
          </w:p>
        </w:tc>
        <w:tc>
          <w:tcPr>
            <w:tcW w:w="7344" w:type="dxa"/>
          </w:tcPr>
          <w:p w14:paraId="025FF312">
            <w:pPr>
              <w:spacing w:after="40" w:line="259" w:lineRule="auto"/>
            </w:pPr>
            <w:r>
              <w:rPr>
                <w:rFonts w:ascii="Times New Roman" w:hAnsi="Times New Roman" w:eastAsia="微软雅黑"/>
                <w:b w:val="0"/>
                <w:color w:val="000000"/>
                <w:sz w:val="19"/>
              </w:rPr>
              <w:t>从登记册进入信件和公司记录，并提供几乎各层级的活动证据。</w:t>
            </w:r>
          </w:p>
        </w:tc>
      </w:tr>
    </w:tbl>
    <w:p w14:paraId="65F749A2">
      <w:pPr>
        <w:spacing w:after="160" w:line="276" w:lineRule="auto"/>
      </w:pPr>
    </w:p>
    <w:p w14:paraId="7D763F14">
      <w:pPr>
        <w:keepNext/>
        <w:spacing w:before="200" w:after="120"/>
      </w:pPr>
      <w:r>
        <w:rPr>
          <w:rFonts w:ascii="Times New Roman" w:hAnsi="Times New Roman" w:eastAsia="微软雅黑"/>
          <w:b/>
          <w:color w:val="000000"/>
          <w:sz w:val="23"/>
        </w:rPr>
        <w:t>43.【答案】D</w:t>
      </w:r>
    </w:p>
    <w:p w14:paraId="267EE2ED">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空位43；空位44前。</w:t>
      </w:r>
    </w:p>
    <w:p w14:paraId="2FA7581B">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固定段 B 强调这种参与不是 flash in the pan，而是贯穿 Royal African Company；【D】首句 Women invested from the earliest years 直接展开时间纵深，并以 Elizabeth I 和 Lady Craven 的实例证明早期投资并非孤例。</w:t>
      </w:r>
    </w:p>
    <w:p w14:paraId="662EDC94">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6BE62CB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48B62C11">
            <w:pPr>
              <w:spacing w:after="40"/>
            </w:pPr>
            <w:r>
              <w:rPr>
                <w:rFonts w:ascii="Times New Roman" w:hAnsi="Times New Roman" w:eastAsia="微软雅黑"/>
                <w:b/>
                <w:color w:val="FFFFFF"/>
                <w:sz w:val="20"/>
              </w:rPr>
              <w:t>选项</w:t>
            </w:r>
          </w:p>
        </w:tc>
        <w:tc>
          <w:tcPr>
            <w:tcW w:w="1224" w:type="dxa"/>
            <w:shd w:val="clear" w:color="auto" w:fill="1F4E79"/>
          </w:tcPr>
          <w:p w14:paraId="4EA90626">
            <w:pPr>
              <w:spacing w:after="40"/>
            </w:pPr>
            <w:r>
              <w:rPr>
                <w:rFonts w:ascii="Times New Roman" w:hAnsi="Times New Roman" w:eastAsia="微软雅黑"/>
                <w:b/>
                <w:color w:val="FFFFFF"/>
                <w:sz w:val="20"/>
              </w:rPr>
              <w:t>判断</w:t>
            </w:r>
          </w:p>
        </w:tc>
        <w:tc>
          <w:tcPr>
            <w:tcW w:w="7344" w:type="dxa"/>
            <w:shd w:val="clear" w:color="auto" w:fill="1F4E79"/>
          </w:tcPr>
          <w:p w14:paraId="1082C9E5">
            <w:pPr>
              <w:spacing w:after="40"/>
            </w:pPr>
            <w:r>
              <w:rPr>
                <w:rFonts w:ascii="Times New Roman" w:hAnsi="Times New Roman" w:eastAsia="微软雅黑"/>
                <w:b/>
                <w:color w:val="FFFFFF"/>
                <w:sz w:val="20"/>
              </w:rPr>
              <w:t>理由</w:t>
            </w:r>
          </w:p>
        </w:tc>
      </w:tr>
      <w:tr w14:paraId="51AF36E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4DD6892">
            <w:pPr>
              <w:spacing w:after="40" w:line="259" w:lineRule="auto"/>
            </w:pPr>
            <w:r>
              <w:rPr>
                <w:rFonts w:ascii="Times New Roman" w:hAnsi="Times New Roman" w:eastAsia="微软雅黑"/>
                <w:b w:val="0"/>
                <w:color w:val="000000"/>
                <w:sz w:val="19"/>
              </w:rPr>
              <w:t>A</w:t>
            </w:r>
          </w:p>
        </w:tc>
        <w:tc>
          <w:tcPr>
            <w:tcW w:w="1224" w:type="dxa"/>
          </w:tcPr>
          <w:p w14:paraId="71934140">
            <w:pPr>
              <w:spacing w:after="40" w:line="259" w:lineRule="auto"/>
            </w:pPr>
            <w:r>
              <w:rPr>
                <w:rFonts w:ascii="Times New Roman" w:hAnsi="Times New Roman" w:eastAsia="微软雅黑"/>
                <w:b w:val="0"/>
                <w:color w:val="000000"/>
                <w:sz w:val="19"/>
              </w:rPr>
              <w:t>不能选</w:t>
            </w:r>
          </w:p>
        </w:tc>
        <w:tc>
          <w:tcPr>
            <w:tcW w:w="7344" w:type="dxa"/>
          </w:tcPr>
          <w:p w14:paraId="3BF317EA">
            <w:pPr>
              <w:spacing w:after="40" w:line="259" w:lineRule="auto"/>
            </w:pPr>
            <w:r>
              <w:rPr>
                <w:rFonts w:ascii="Times New Roman" w:hAnsi="Times New Roman" w:eastAsia="微软雅黑"/>
                <w:b w:val="0"/>
                <w:color w:val="000000"/>
                <w:sz w:val="19"/>
              </w:rPr>
              <w:t>参与范围已在41空交代。</w:t>
            </w:r>
          </w:p>
        </w:tc>
      </w:tr>
      <w:tr w14:paraId="434C61A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F2B409E">
            <w:pPr>
              <w:spacing w:after="40" w:line="259" w:lineRule="auto"/>
            </w:pPr>
            <w:r>
              <w:rPr>
                <w:rFonts w:ascii="Times New Roman" w:hAnsi="Times New Roman" w:eastAsia="微软雅黑"/>
                <w:b w:val="0"/>
                <w:color w:val="000000"/>
                <w:sz w:val="19"/>
              </w:rPr>
              <w:t>C</w:t>
            </w:r>
          </w:p>
        </w:tc>
        <w:tc>
          <w:tcPr>
            <w:tcW w:w="1224" w:type="dxa"/>
            <w:shd w:val="clear" w:color="auto" w:fill="EAF2F8"/>
          </w:tcPr>
          <w:p w14:paraId="09652818">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321E24F">
            <w:pPr>
              <w:spacing w:after="40" w:line="259" w:lineRule="auto"/>
            </w:pPr>
            <w:r>
              <w:rPr>
                <w:rFonts w:ascii="Times New Roman" w:hAnsi="Times New Roman" w:eastAsia="微软雅黑"/>
                <w:b w:val="0"/>
                <w:color w:val="000000"/>
                <w:sz w:val="19"/>
              </w:rPr>
              <w:t>财产法是后文解释资本供给的条件。</w:t>
            </w:r>
          </w:p>
        </w:tc>
      </w:tr>
      <w:tr w14:paraId="748B352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DAA5E9C">
            <w:pPr>
              <w:spacing w:after="40" w:line="259" w:lineRule="auto"/>
            </w:pPr>
            <w:r>
              <w:rPr>
                <w:rFonts w:ascii="Times New Roman" w:hAnsi="Times New Roman" w:eastAsia="微软雅黑"/>
                <w:b w:val="0"/>
                <w:color w:val="000000"/>
                <w:sz w:val="19"/>
              </w:rPr>
              <w:t>D</w:t>
            </w:r>
          </w:p>
        </w:tc>
        <w:tc>
          <w:tcPr>
            <w:tcW w:w="1224" w:type="dxa"/>
          </w:tcPr>
          <w:p w14:paraId="0F9977BA">
            <w:pPr>
              <w:spacing w:after="40" w:line="259" w:lineRule="auto"/>
            </w:pPr>
            <w:r>
              <w:rPr>
                <w:rFonts w:ascii="Times New Roman" w:hAnsi="Times New Roman" w:eastAsia="微软雅黑"/>
                <w:b w:val="0"/>
                <w:color w:val="000000"/>
                <w:sz w:val="19"/>
              </w:rPr>
              <w:t>正确</w:t>
            </w:r>
          </w:p>
        </w:tc>
        <w:tc>
          <w:tcPr>
            <w:tcW w:w="7344" w:type="dxa"/>
          </w:tcPr>
          <w:p w14:paraId="0117B5C6">
            <w:pPr>
              <w:spacing w:after="40" w:line="259" w:lineRule="auto"/>
            </w:pPr>
            <w:r>
              <w:rPr>
                <w:rFonts w:ascii="Times New Roman" w:hAnsi="Times New Roman" w:eastAsia="微软雅黑"/>
                <w:b w:val="0"/>
                <w:color w:val="000000"/>
                <w:sz w:val="19"/>
              </w:rPr>
              <w:t>以 earliest years 回应“not just a flash in the pan”。</w:t>
            </w:r>
          </w:p>
        </w:tc>
      </w:tr>
      <w:tr w14:paraId="28AB532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A6A3EE2">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7EC5B7B1">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A83D107">
            <w:pPr>
              <w:spacing w:after="40" w:line="259" w:lineRule="auto"/>
            </w:pPr>
            <w:r>
              <w:rPr>
                <w:rFonts w:ascii="Times New Roman" w:hAnsi="Times New Roman" w:eastAsia="微软雅黑"/>
                <w:b w:val="0"/>
                <w:color w:val="000000"/>
                <w:sz w:val="19"/>
              </w:rPr>
              <w:t>非正式影响不是时间线扩展，不宜紧接 B 段的持续性评价。</w:t>
            </w:r>
          </w:p>
        </w:tc>
      </w:tr>
      <w:tr w14:paraId="7C2C69F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520CEA7">
            <w:pPr>
              <w:spacing w:after="40" w:line="259" w:lineRule="auto"/>
            </w:pPr>
            <w:r>
              <w:rPr>
                <w:rFonts w:ascii="Times New Roman" w:hAnsi="Times New Roman" w:eastAsia="微软雅黑"/>
                <w:b w:val="0"/>
                <w:color w:val="000000"/>
                <w:sz w:val="19"/>
              </w:rPr>
              <w:t>G</w:t>
            </w:r>
          </w:p>
        </w:tc>
        <w:tc>
          <w:tcPr>
            <w:tcW w:w="1224" w:type="dxa"/>
          </w:tcPr>
          <w:p w14:paraId="7565EA2E">
            <w:pPr>
              <w:spacing w:after="40" w:line="259" w:lineRule="auto"/>
            </w:pPr>
            <w:r>
              <w:rPr>
                <w:rFonts w:ascii="Times New Roman" w:hAnsi="Times New Roman" w:eastAsia="微软雅黑"/>
                <w:b w:val="0"/>
                <w:color w:val="000000"/>
                <w:sz w:val="19"/>
              </w:rPr>
              <w:t>不能选</w:t>
            </w:r>
          </w:p>
        </w:tc>
        <w:tc>
          <w:tcPr>
            <w:tcW w:w="7344" w:type="dxa"/>
          </w:tcPr>
          <w:p w14:paraId="3FF3F94B">
            <w:pPr>
              <w:spacing w:after="40" w:line="259" w:lineRule="auto"/>
            </w:pPr>
            <w:r>
              <w:rPr>
                <w:rFonts w:ascii="Times New Roman" w:hAnsi="Times New Roman" w:eastAsia="微软雅黑"/>
                <w:b w:val="0"/>
                <w:color w:val="000000"/>
                <w:sz w:val="19"/>
              </w:rPr>
              <w:t>档案证据已在42空完成。</w:t>
            </w:r>
          </w:p>
        </w:tc>
      </w:tr>
    </w:tbl>
    <w:p w14:paraId="4AE00F52">
      <w:pPr>
        <w:spacing w:after="160" w:line="276" w:lineRule="auto"/>
      </w:pPr>
    </w:p>
    <w:p w14:paraId="745B895E">
      <w:pPr>
        <w:keepNext/>
        <w:spacing w:before="200" w:after="120"/>
      </w:pPr>
      <w:r>
        <w:rPr>
          <w:rFonts w:ascii="Times New Roman" w:hAnsi="Times New Roman" w:eastAsia="微软雅黑"/>
          <w:b/>
          <w:color w:val="000000"/>
          <w:sz w:val="23"/>
        </w:rPr>
        <w:t>44.【答案】F</w:t>
      </w:r>
    </w:p>
    <w:p w14:paraId="5E142962">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空位44；空位45前。</w:t>
      </w:r>
    </w:p>
    <w:p w14:paraId="4108FDAE">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【D】说明女性从很早开始投资；【F】用 The research also found 补充另一层发现：她们很少投票或担任董事，而靠作见证、运送货物、请愿、借钱和买卖股份施加影响。这种非正式参与自然引出【C】对单身、寡居和已婚女性法律地位的说明。</w:t>
      </w:r>
    </w:p>
    <w:p w14:paraId="3AF7E7BB">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228D1DC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355D725E">
            <w:pPr>
              <w:spacing w:after="40"/>
            </w:pPr>
            <w:r>
              <w:rPr>
                <w:rFonts w:ascii="Times New Roman" w:hAnsi="Times New Roman" w:eastAsia="微软雅黑"/>
                <w:b/>
                <w:color w:val="FFFFFF"/>
                <w:sz w:val="20"/>
              </w:rPr>
              <w:t>选项</w:t>
            </w:r>
          </w:p>
        </w:tc>
        <w:tc>
          <w:tcPr>
            <w:tcW w:w="1224" w:type="dxa"/>
            <w:shd w:val="clear" w:color="auto" w:fill="1F4E79"/>
          </w:tcPr>
          <w:p w14:paraId="117E5128">
            <w:pPr>
              <w:spacing w:after="40"/>
            </w:pPr>
            <w:r>
              <w:rPr>
                <w:rFonts w:ascii="Times New Roman" w:hAnsi="Times New Roman" w:eastAsia="微软雅黑"/>
                <w:b/>
                <w:color w:val="FFFFFF"/>
                <w:sz w:val="20"/>
              </w:rPr>
              <w:t>判断</w:t>
            </w:r>
          </w:p>
        </w:tc>
        <w:tc>
          <w:tcPr>
            <w:tcW w:w="7344" w:type="dxa"/>
            <w:shd w:val="clear" w:color="auto" w:fill="1F4E79"/>
          </w:tcPr>
          <w:p w14:paraId="14D3E209">
            <w:pPr>
              <w:spacing w:after="40"/>
            </w:pPr>
            <w:r>
              <w:rPr>
                <w:rFonts w:ascii="Times New Roman" w:hAnsi="Times New Roman" w:eastAsia="微软雅黑"/>
                <w:b/>
                <w:color w:val="FFFFFF"/>
                <w:sz w:val="20"/>
              </w:rPr>
              <w:t>理由</w:t>
            </w:r>
          </w:p>
        </w:tc>
      </w:tr>
      <w:tr w14:paraId="1F4673A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CBA3651">
            <w:pPr>
              <w:spacing w:after="40" w:line="259" w:lineRule="auto"/>
            </w:pPr>
            <w:r>
              <w:rPr>
                <w:rFonts w:ascii="Times New Roman" w:hAnsi="Times New Roman" w:eastAsia="微软雅黑"/>
                <w:b w:val="0"/>
                <w:color w:val="000000"/>
                <w:sz w:val="19"/>
              </w:rPr>
              <w:t>A</w:t>
            </w:r>
          </w:p>
        </w:tc>
        <w:tc>
          <w:tcPr>
            <w:tcW w:w="1224" w:type="dxa"/>
          </w:tcPr>
          <w:p w14:paraId="3301C99E">
            <w:pPr>
              <w:spacing w:after="40" w:line="259" w:lineRule="auto"/>
            </w:pPr>
            <w:r>
              <w:rPr>
                <w:rFonts w:ascii="Times New Roman" w:hAnsi="Times New Roman" w:eastAsia="微软雅黑"/>
                <w:b w:val="0"/>
                <w:color w:val="000000"/>
                <w:sz w:val="19"/>
              </w:rPr>
              <w:t>不能选</w:t>
            </w:r>
          </w:p>
        </w:tc>
        <w:tc>
          <w:tcPr>
            <w:tcW w:w="7344" w:type="dxa"/>
          </w:tcPr>
          <w:p w14:paraId="220004FB">
            <w:pPr>
              <w:spacing w:after="40" w:line="259" w:lineRule="auto"/>
            </w:pPr>
            <w:r>
              <w:rPr>
                <w:rFonts w:ascii="Times New Roman" w:hAnsi="Times New Roman" w:eastAsia="微软雅黑"/>
                <w:b w:val="0"/>
                <w:color w:val="000000"/>
                <w:sz w:val="19"/>
              </w:rPr>
              <w:t>登记册的范围发现不能再次前置。</w:t>
            </w:r>
          </w:p>
        </w:tc>
      </w:tr>
      <w:tr w14:paraId="24C9878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A805116">
            <w:pPr>
              <w:spacing w:after="40" w:line="259" w:lineRule="auto"/>
            </w:pPr>
            <w:r>
              <w:rPr>
                <w:rFonts w:ascii="Times New Roman" w:hAnsi="Times New Roman" w:eastAsia="微软雅黑"/>
                <w:b w:val="0"/>
                <w:color w:val="000000"/>
                <w:sz w:val="19"/>
              </w:rPr>
              <w:t>C</w:t>
            </w:r>
          </w:p>
        </w:tc>
        <w:tc>
          <w:tcPr>
            <w:tcW w:w="1224" w:type="dxa"/>
            <w:shd w:val="clear" w:color="auto" w:fill="EAF2F8"/>
          </w:tcPr>
          <w:p w14:paraId="2EE307AE">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BFB14E9">
            <w:pPr>
              <w:spacing w:after="40" w:line="259" w:lineRule="auto"/>
            </w:pPr>
            <w:r>
              <w:rPr>
                <w:rFonts w:ascii="Times New Roman" w:hAnsi="Times New Roman" w:eastAsia="微软雅黑"/>
                <w:b w:val="0"/>
                <w:color w:val="000000"/>
                <w:sz w:val="19"/>
              </w:rPr>
              <w:t>应先用【F】呈现非正式影响，再解释其法律原因。</w:t>
            </w:r>
          </w:p>
        </w:tc>
      </w:tr>
      <w:tr w14:paraId="68CD885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5B03396">
            <w:pPr>
              <w:spacing w:after="40" w:line="259" w:lineRule="auto"/>
            </w:pPr>
            <w:r>
              <w:rPr>
                <w:rFonts w:ascii="Times New Roman" w:hAnsi="Times New Roman" w:eastAsia="微软雅黑"/>
                <w:b w:val="0"/>
                <w:color w:val="000000"/>
                <w:sz w:val="19"/>
              </w:rPr>
              <w:t>D</w:t>
            </w:r>
          </w:p>
        </w:tc>
        <w:tc>
          <w:tcPr>
            <w:tcW w:w="1224" w:type="dxa"/>
          </w:tcPr>
          <w:p w14:paraId="0C9CEF5F">
            <w:pPr>
              <w:spacing w:after="40" w:line="259" w:lineRule="auto"/>
            </w:pPr>
            <w:r>
              <w:rPr>
                <w:rFonts w:ascii="Times New Roman" w:hAnsi="Times New Roman" w:eastAsia="微软雅黑"/>
                <w:b w:val="0"/>
                <w:color w:val="000000"/>
                <w:sz w:val="19"/>
              </w:rPr>
              <w:t>不能选</w:t>
            </w:r>
          </w:p>
        </w:tc>
        <w:tc>
          <w:tcPr>
            <w:tcW w:w="7344" w:type="dxa"/>
          </w:tcPr>
          <w:p w14:paraId="38D1D7C1">
            <w:pPr>
              <w:spacing w:after="40" w:line="259" w:lineRule="auto"/>
            </w:pPr>
            <w:r>
              <w:rPr>
                <w:rFonts w:ascii="Times New Roman" w:hAnsi="Times New Roman" w:eastAsia="微软雅黑"/>
                <w:b w:val="0"/>
                <w:color w:val="000000"/>
                <w:sz w:val="19"/>
              </w:rPr>
              <w:t>【D】已在43空完成早期时间线。</w:t>
            </w:r>
          </w:p>
        </w:tc>
      </w:tr>
      <w:tr w14:paraId="571333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4194188">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69C185D8">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7B9536BF">
            <w:pPr>
              <w:spacing w:after="40" w:line="259" w:lineRule="auto"/>
            </w:pPr>
            <w:r>
              <w:rPr>
                <w:rFonts w:ascii="Times New Roman" w:hAnsi="Times New Roman" w:eastAsia="微软雅黑"/>
                <w:b w:val="0"/>
                <w:color w:val="000000"/>
                <w:sz w:val="19"/>
              </w:rPr>
              <w:t>从早期投资转入参与机制，并为法律地位分析铺垫。</w:t>
            </w:r>
          </w:p>
        </w:tc>
      </w:tr>
      <w:tr w14:paraId="6F5DC4B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587877B">
            <w:pPr>
              <w:spacing w:after="40" w:line="259" w:lineRule="auto"/>
            </w:pPr>
            <w:r>
              <w:rPr>
                <w:rFonts w:ascii="Times New Roman" w:hAnsi="Times New Roman" w:eastAsia="微软雅黑"/>
                <w:b w:val="0"/>
                <w:color w:val="000000"/>
                <w:sz w:val="19"/>
              </w:rPr>
              <w:t>G</w:t>
            </w:r>
          </w:p>
        </w:tc>
        <w:tc>
          <w:tcPr>
            <w:tcW w:w="1224" w:type="dxa"/>
          </w:tcPr>
          <w:p w14:paraId="0BA7EB07">
            <w:pPr>
              <w:spacing w:after="40" w:line="259" w:lineRule="auto"/>
            </w:pPr>
            <w:r>
              <w:rPr>
                <w:rFonts w:ascii="Times New Roman" w:hAnsi="Times New Roman" w:eastAsia="微软雅黑"/>
                <w:b w:val="0"/>
                <w:color w:val="000000"/>
                <w:sz w:val="19"/>
              </w:rPr>
              <w:t>不能选</w:t>
            </w:r>
          </w:p>
        </w:tc>
        <w:tc>
          <w:tcPr>
            <w:tcW w:w="7344" w:type="dxa"/>
          </w:tcPr>
          <w:p w14:paraId="1DF1E549">
            <w:pPr>
              <w:spacing w:after="40" w:line="259" w:lineRule="auto"/>
            </w:pPr>
            <w:r>
              <w:rPr>
                <w:rFonts w:ascii="Times New Roman" w:hAnsi="Times New Roman" w:eastAsia="微软雅黑"/>
                <w:b w:val="0"/>
                <w:color w:val="000000"/>
                <w:sz w:val="19"/>
              </w:rPr>
              <w:t>档案活动证据已在42空处理。</w:t>
            </w:r>
          </w:p>
        </w:tc>
      </w:tr>
    </w:tbl>
    <w:p w14:paraId="076F4532">
      <w:pPr>
        <w:spacing w:after="160" w:line="276" w:lineRule="auto"/>
      </w:pPr>
    </w:p>
    <w:p w14:paraId="569BB83B">
      <w:pPr>
        <w:keepNext/>
        <w:spacing w:before="200" w:after="120"/>
      </w:pPr>
      <w:r>
        <w:rPr>
          <w:rFonts w:ascii="Times New Roman" w:hAnsi="Times New Roman" w:eastAsia="微软雅黑"/>
          <w:b/>
          <w:color w:val="000000"/>
          <w:sz w:val="23"/>
        </w:rPr>
        <w:t>45.【答案】C</w:t>
      </w:r>
    </w:p>
    <w:p w14:paraId="3A15A6A0">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空位45；固定段H之前。</w:t>
      </w:r>
    </w:p>
    <w:p w14:paraId="28137B5E">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【C】解释单身和寡居女性能控制财产、作为法律主体行动，而已婚女性不能，因此她们成为 RAC 财政危机中的 well of capital。固定段 H 中公司秘书敦促女性把债务换成股份并动员亲友，正依赖这种资本与影响力。</w:t>
      </w:r>
    </w:p>
    <w:p w14:paraId="7957DA43">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1EC64E8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24AD41F4">
            <w:pPr>
              <w:spacing w:after="40"/>
            </w:pPr>
            <w:r>
              <w:rPr>
                <w:rFonts w:ascii="Times New Roman" w:hAnsi="Times New Roman" w:eastAsia="微软雅黑"/>
                <w:b/>
                <w:color w:val="FFFFFF"/>
                <w:sz w:val="20"/>
              </w:rPr>
              <w:t>选项</w:t>
            </w:r>
          </w:p>
        </w:tc>
        <w:tc>
          <w:tcPr>
            <w:tcW w:w="1224" w:type="dxa"/>
            <w:shd w:val="clear" w:color="auto" w:fill="1F4E79"/>
          </w:tcPr>
          <w:p w14:paraId="3DC3D961">
            <w:pPr>
              <w:spacing w:after="40"/>
            </w:pPr>
            <w:r>
              <w:rPr>
                <w:rFonts w:ascii="Times New Roman" w:hAnsi="Times New Roman" w:eastAsia="微软雅黑"/>
                <w:b/>
                <w:color w:val="FFFFFF"/>
                <w:sz w:val="20"/>
              </w:rPr>
              <w:t>判断</w:t>
            </w:r>
          </w:p>
        </w:tc>
        <w:tc>
          <w:tcPr>
            <w:tcW w:w="7344" w:type="dxa"/>
            <w:shd w:val="clear" w:color="auto" w:fill="1F4E79"/>
          </w:tcPr>
          <w:p w14:paraId="4F51853D">
            <w:pPr>
              <w:spacing w:after="40"/>
            </w:pPr>
            <w:r>
              <w:rPr>
                <w:rFonts w:ascii="Times New Roman" w:hAnsi="Times New Roman" w:eastAsia="微软雅黑"/>
                <w:b/>
                <w:color w:val="FFFFFF"/>
                <w:sz w:val="20"/>
              </w:rPr>
              <w:t>理由</w:t>
            </w:r>
          </w:p>
        </w:tc>
      </w:tr>
      <w:tr w14:paraId="7E6827F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78EFF5A4">
            <w:pPr>
              <w:spacing w:after="40" w:line="259" w:lineRule="auto"/>
            </w:pPr>
            <w:r>
              <w:rPr>
                <w:rFonts w:ascii="Times New Roman" w:hAnsi="Times New Roman" w:eastAsia="微软雅黑"/>
                <w:b w:val="0"/>
                <w:color w:val="000000"/>
                <w:sz w:val="19"/>
              </w:rPr>
              <w:t>A</w:t>
            </w:r>
          </w:p>
        </w:tc>
        <w:tc>
          <w:tcPr>
            <w:tcW w:w="1224" w:type="dxa"/>
          </w:tcPr>
          <w:p w14:paraId="3C48227F">
            <w:pPr>
              <w:spacing w:after="40" w:line="259" w:lineRule="auto"/>
            </w:pPr>
            <w:r>
              <w:rPr>
                <w:rFonts w:ascii="Times New Roman" w:hAnsi="Times New Roman" w:eastAsia="微软雅黑"/>
                <w:b w:val="0"/>
                <w:color w:val="000000"/>
                <w:sz w:val="19"/>
              </w:rPr>
              <w:t>不能选</w:t>
            </w:r>
          </w:p>
        </w:tc>
        <w:tc>
          <w:tcPr>
            <w:tcW w:w="7344" w:type="dxa"/>
          </w:tcPr>
          <w:p w14:paraId="6019A300">
            <w:pPr>
              <w:spacing w:after="40" w:line="259" w:lineRule="auto"/>
            </w:pPr>
            <w:r>
              <w:rPr>
                <w:rFonts w:ascii="Times New Roman" w:hAnsi="Times New Roman" w:eastAsia="微软雅黑"/>
                <w:b w:val="0"/>
                <w:color w:val="000000"/>
                <w:sz w:val="19"/>
              </w:rPr>
              <w:t>研究范围已经前移，无法解释 H 段的公司动员。</w:t>
            </w:r>
          </w:p>
        </w:tc>
      </w:tr>
      <w:tr w14:paraId="68D37E7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47D144B">
            <w:pPr>
              <w:spacing w:after="40" w:line="259" w:lineRule="auto"/>
            </w:pPr>
            <w:r>
              <w:rPr>
                <w:rFonts w:ascii="Times New Roman" w:hAnsi="Times New Roman" w:eastAsia="微软雅黑"/>
                <w:b w:val="0"/>
                <w:color w:val="000000"/>
                <w:sz w:val="19"/>
              </w:rPr>
              <w:t>C</w:t>
            </w:r>
          </w:p>
        </w:tc>
        <w:tc>
          <w:tcPr>
            <w:tcW w:w="1224" w:type="dxa"/>
            <w:shd w:val="clear" w:color="auto" w:fill="EAF2F8"/>
          </w:tcPr>
          <w:p w14:paraId="3C824634">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06DA0E91">
            <w:pPr>
              <w:spacing w:after="40" w:line="259" w:lineRule="auto"/>
            </w:pPr>
            <w:r>
              <w:rPr>
                <w:rFonts w:ascii="Times New Roman" w:hAnsi="Times New Roman" w:eastAsia="微软雅黑"/>
                <w:b w:val="0"/>
                <w:color w:val="000000"/>
                <w:sz w:val="19"/>
              </w:rPr>
              <w:t>用法律地位和资本供给直接通向 H 段的财务动员。</w:t>
            </w:r>
          </w:p>
        </w:tc>
      </w:tr>
      <w:tr w14:paraId="25FEC68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2B1AD8A">
            <w:pPr>
              <w:spacing w:after="40" w:line="259" w:lineRule="auto"/>
            </w:pPr>
            <w:r>
              <w:rPr>
                <w:rFonts w:ascii="Times New Roman" w:hAnsi="Times New Roman" w:eastAsia="微软雅黑"/>
                <w:b w:val="0"/>
                <w:color w:val="000000"/>
                <w:sz w:val="19"/>
              </w:rPr>
              <w:t>D</w:t>
            </w:r>
          </w:p>
        </w:tc>
        <w:tc>
          <w:tcPr>
            <w:tcW w:w="1224" w:type="dxa"/>
          </w:tcPr>
          <w:p w14:paraId="5E34917D">
            <w:pPr>
              <w:spacing w:after="40" w:line="259" w:lineRule="auto"/>
            </w:pPr>
            <w:r>
              <w:rPr>
                <w:rFonts w:ascii="Times New Roman" w:hAnsi="Times New Roman" w:eastAsia="微软雅黑"/>
                <w:b w:val="0"/>
                <w:color w:val="000000"/>
                <w:sz w:val="19"/>
              </w:rPr>
              <w:t>不能选</w:t>
            </w:r>
          </w:p>
        </w:tc>
        <w:tc>
          <w:tcPr>
            <w:tcW w:w="7344" w:type="dxa"/>
          </w:tcPr>
          <w:p w14:paraId="403C2210">
            <w:pPr>
              <w:spacing w:after="40" w:line="259" w:lineRule="auto"/>
            </w:pPr>
            <w:r>
              <w:rPr>
                <w:rFonts w:ascii="Times New Roman" w:hAnsi="Times New Roman" w:eastAsia="微软雅黑"/>
                <w:b w:val="0"/>
                <w:color w:val="000000"/>
                <w:sz w:val="19"/>
              </w:rPr>
              <w:t>早期实例不能解释公司为何需要女性资本。</w:t>
            </w:r>
          </w:p>
        </w:tc>
      </w:tr>
      <w:tr w14:paraId="533191B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DB5C391">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31AE5B03">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2897729">
            <w:pPr>
              <w:spacing w:after="40" w:line="259" w:lineRule="auto"/>
            </w:pPr>
            <w:r>
              <w:rPr>
                <w:rFonts w:ascii="Times New Roman" w:hAnsi="Times New Roman" w:eastAsia="微软雅黑"/>
                <w:b w:val="0"/>
                <w:color w:val="000000"/>
                <w:sz w:val="19"/>
              </w:rPr>
              <w:t>非正式影响已在44空出现，但【C】把它推进到财产法和公司融资。</w:t>
            </w:r>
          </w:p>
        </w:tc>
      </w:tr>
      <w:tr w14:paraId="1DCABAD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F16027E">
            <w:pPr>
              <w:spacing w:after="40" w:line="259" w:lineRule="auto"/>
            </w:pPr>
            <w:r>
              <w:rPr>
                <w:rFonts w:ascii="Times New Roman" w:hAnsi="Times New Roman" w:eastAsia="微软雅黑"/>
                <w:b w:val="0"/>
                <w:color w:val="000000"/>
                <w:sz w:val="19"/>
              </w:rPr>
              <w:t>G</w:t>
            </w:r>
          </w:p>
        </w:tc>
        <w:tc>
          <w:tcPr>
            <w:tcW w:w="1224" w:type="dxa"/>
          </w:tcPr>
          <w:p w14:paraId="6E0A85D5">
            <w:pPr>
              <w:spacing w:after="40" w:line="259" w:lineRule="auto"/>
            </w:pPr>
            <w:r>
              <w:rPr>
                <w:rFonts w:ascii="Times New Roman" w:hAnsi="Times New Roman" w:eastAsia="微软雅黑"/>
                <w:b w:val="0"/>
                <w:color w:val="000000"/>
                <w:sz w:val="19"/>
              </w:rPr>
              <w:t>不能选</w:t>
            </w:r>
          </w:p>
        </w:tc>
        <w:tc>
          <w:tcPr>
            <w:tcW w:w="7344" w:type="dxa"/>
          </w:tcPr>
          <w:p w14:paraId="48F85999">
            <w:pPr>
              <w:spacing w:after="40" w:line="259" w:lineRule="auto"/>
            </w:pPr>
            <w:r>
              <w:rPr>
                <w:rFonts w:ascii="Times New Roman" w:hAnsi="Times New Roman" w:eastAsia="微软雅黑"/>
                <w:b w:val="0"/>
                <w:color w:val="000000"/>
                <w:sz w:val="19"/>
              </w:rPr>
              <w:t>档案证据层已经完成，重复出现会打乱论证链。</w:t>
            </w:r>
          </w:p>
        </w:tc>
      </w:tr>
    </w:tbl>
    <w:p w14:paraId="734346CD">
      <w:pPr>
        <w:spacing w:after="160" w:line="276" w:lineRule="auto"/>
      </w:pPr>
    </w:p>
    <w:p w14:paraId="3074FA1F">
      <w:pPr>
        <w:keepNext/>
        <w:spacing w:before="200" w:after="120"/>
      </w:pPr>
      <w:r>
        <w:rPr>
          <w:rFonts w:ascii="Times New Roman" w:hAnsi="Times New Roman" w:eastAsia="微软雅黑"/>
          <w:b/>
          <w:color w:val="000000"/>
          <w:sz w:val="24"/>
        </w:rPr>
        <w:t>干扰项设置</w:t>
      </w:r>
    </w:p>
    <w:p w14:paraId="691D32E4">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本题主要用证据层和解释层错位。【A】【G】【F】都涉及女性参与，但分别对应“登记册范围”“档案证据”“非正式机制”；若把它们集中在同一段，会掩盖文章从发现到法律解释再到公司策略的推进。</w:t>
      </w:r>
    </w:p>
    <w:p w14:paraId="7BA3BCCD">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6A14CA47">
      <w:pPr>
        <w:spacing w:after="160" w:line="276" w:lineRule="auto"/>
        <w:rPr>
          <w:rFonts w:ascii="Times New Roman" w:hAnsi="Times New Roman" w:eastAsia="微软雅黑"/>
          <w:b w:val="0"/>
          <w:color w:val="000000"/>
          <w:sz w:val="21"/>
        </w:rPr>
      </w:pPr>
    </w:p>
    <w:p w14:paraId="0972E9FB">
      <w:pPr>
        <w:spacing w:after="160" w:line="276" w:lineRule="auto"/>
        <w:rPr>
          <w:rFonts w:ascii="Times New Roman" w:hAnsi="Times New Roman" w:eastAsia="微软雅黑"/>
          <w:b w:val="0"/>
          <w:color w:val="000000"/>
          <w:sz w:val="21"/>
        </w:rPr>
      </w:pP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C812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2323</Words>
  <Characters>5201</Characters>
  <Lines>0</Lines>
  <Paragraphs>0</Paragraphs>
  <TotalTime>0</TotalTime>
  <ScaleCrop>false</ScaleCrop>
  <LinksUpToDate>false</LinksUpToDate>
  <CharactersWithSpaces>5962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2026-09-18T09:50:23Z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ADA022C7CB53444D821034C4F78B4D23_12</vt:lpwstr>
  </property>
</Properties>
</file>