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p>
    <w:p>
      <w:pPr>
        <w:spacing w:before="0" w:after="40"/>
        <w:jc w:val="left"/>
      </w:pPr>
      <w:r>
        <w:rPr>
          <w:b/>
          <w:color w:val="4472C4"/>
          <w:sz w:val="22"/>
        </w:rPr>
        <w:t>UNIFIED DIGITAL GROUP</w:t>
      </w:r>
    </w:p>
    <w:p>
      <w:pPr>
        <w:spacing w:before="0" w:after="80"/>
        <w:jc w:val="left"/>
      </w:pPr>
      <w:r>
        <w:rPr>
          <w:b/>
          <w:color w:val="1F3864"/>
          <w:sz w:val="56"/>
        </w:rPr>
        <w:t>Flux Capital Strategy</w:t>
      </w:r>
    </w:p>
    <w:p>
      <w:pPr>
        <w:spacing w:before="0" w:after="40"/>
        <w:jc w:val="left"/>
      </w:pPr>
      <w:r>
        <w:rPr>
          <w:b w:val="0"/>
          <w:color w:val="4472C4"/>
          <w:sz w:val="20"/>
        </w:rPr>
        <w:t>Confidential  |  For Authorized Recipients Only  |  June 2026</w:t>
      </w:r>
    </w:p>
    <w:p>
      <w:pPr>
        <w:pBdr>
          <w:bottom w:val="single" w:sz="12" w:space="1" w:color="1F3864"/>
        </w:pBdr>
      </w:pPr>
      <w:pPr>
        <w:spacing w:before="0" w:after="280"/>
        <w:jc w:val="left"/>
      </w:pPr>
    </w:p>
    <w:p>
      <w:r>
        <w:t>Equity Capital: $2B  |  Trade Finance: $8B  |  Combined Purchasing Power: $10B+  |  Effective Annual Throughput: $60B+</w:t>
      </w:r>
    </w:p>
    <w:p>
      <w:pPr>
        <w:pStyle w:val="Heading2"/>
      </w:pPr>
      <w:r>
        <w:t>Mission &amp; Scale Imperative</w:t>
      </w:r>
    </w:p>
    <w:p>
      <w:r>
        <w:t>Flux exists to democratize AI compute for the world. The defining challenge of the AI era is not capability — it is access. The gap between the Global North, where hyperscalers and large enterprises absorb GPU capacity at market rates, and the Global South, where sovereign AI programs and emerging market institutions are perpetually outbid — or legally prevented from accessing the latest generation of compute at all — is widening with every hardware cycle. Export compliance rules delay or prohibit current-generation GPU technology from reaching many Global South markets entirely. The certified secondary market is not merely an alternative channel for these buyers. For many, it is the only legal channel that exists.</w:t>
      </w:r>
    </w:p>
    <w:p>
      <w:r>
        <w:t>Closing this gap is not a philanthropic objective — it is a capital strategy to establish Flux as the most strategically irreplaceable entity in global AI infrastructure for years to come. The institution that can serve every buyer, in every market, at every price tier — with a certified, compliant, DFI-backed supply chain — builds a moat that no late entrant can replicate.</w:t>
      </w:r>
    </w:p>
    <w:p>
      <w:pPr>
        <w:pStyle w:val="Heading3"/>
      </w:pPr>
      <w:r>
        <w:t>NVIDIA — Structurally Aligned</w:t>
      </w:r>
    </w:p>
    <w:p>
      <w:r>
        <w:t>NVIDIA is 100% supportive of the Flux model, and Flux has the ability to bring NVIDIA leadership to the table to validate that position. The reasons are structural. First, Flux creates a new capital source for NVIDIA's own customers: when hyperscalers and NCPs can monetize their outgoing inventory through a certified resale channel, they can fund their next-generation purchase faster, accelerating NVIDIA's own upgrade cycle. Second, the GPU depreciation problem is real and unsolved. The current market treats GPUs on a 3-year accounting depreciation schedule when the chips have a useful life of 6 years or more. Flux, as a certified third-party market maker, validates the true residual value — demonstrating that the secondary market supports prices well above what accounting schedules imply. This benefits every GPU holder who has ever written down an asset faster than its economic utility warranted. Third, Flux positions NVIDIA-certified Western compute as the default choice in Global South AI infrastructure — directly countering Huawei and Chinese silicon alternatives in markets that matter to NVIDIA's long-term platform dominance. NVIDIA's support is not passive endorsement. It is structurally motivated.</w:t>
      </w:r>
    </w:p>
    <w:p>
      <w:pPr>
        <w:pStyle w:val="Heading3"/>
      </w:pPr>
      <w:r>
        <w:t>Immediate Urgency</w:t>
      </w:r>
    </w:p>
    <w:p>
      <w:r>
        <w:t>The AI hardware refresh cycle is running faster than any prior technology transition. Hyperscalers are migrating from H100 to H200 and Blackwell architectures now — generating the largest potential supply of certified secondary-market GPUs in history. The certified secondary market at institutional scale does not yet exist. Flux is building it. The institution that builds the supply chain infrastructure, signs the first FPAs, and establishes the ITAD and certification network first defines the standard and builds relationships that take years for any new entrant to displace. The trade finance stack takes 12–24 months to arrange from first conversation — Flux is arranging it now. DFC alignment is most actionable while US-China competition for AI infrastructure in the Global South is at peak intensity and DFC's mandate is fully funded. The Flux cap table closes once — founding equity terms are available to a single cohort at launch, not revisited. The founding equity window closes when the trade finance stack is in place. That is measured in months.</w:t>
      </w:r>
    </w:p>
    <w:p>
      <w:r>
        <w:t>The A100 — the workhorse of the AI training era, deployed at massive scale by hyperscalers and NCPs from 2020 through 2022 — has reached End of Sale and is now in rapid depreciation. NVIDIA's successor cadence drives GPU value down 30–40% per year once a replacement generation reaches volume. A100 holders face a compounding calculation: every quarter they continue operating A100s, their per-inference cost disadvantage (measured in tokens per kWh) widens against competitors who have upgraded. The result is a substantial volume of A100 units that are becoming available for certified resale — units that Flux, once operational, will acquire, certify, and route to buyers who need proven compute at proven prices. This is the foundation wave that Flux's ITAD network and trade finance facility are designed to absorb.</w:t>
      </w:r>
    </w:p>
    <w:p>
      <w:r>
        <w:t>The second and larger wave is the H100. The H100 represents the largest single-generation GPU deployment in history — hyperscalers spent in excess of $100B on H100 infrastructure between 2022 and 2024. H200 and Blackwell (B100, B200, GB200 NVL72) are now shipping at volume. The same economic compulsion that drove A100 holders to upgrade is now hitting every H100 owner: running H100s against competitors on Blackwell means a widening per-inference cost disadvantage, measured in tokens per kWh, compounding every quarter. The A100-to-H100 transition demonstrated the scale and speed of this dynamic. The H100-to-Blackwell transition is the larger, more valuable version of the same pattern. At $25,000–$30,000 per unit at new pricing, H100 lots represent the highest-value certified secondary market opportunity that will ever exist for this generation. These next 12–24 months are the window. Flux positioned now captures the wave at peak volume and peak unit value. Flux positioned 18 months from now enters a market with established competitors, entrenched FPA relationships, and a certified supply chain already built.</w:t>
      </w:r>
    </w:p>
    <w:p>
      <w:pPr>
        <w:pStyle w:val="Heading3"/>
      </w:pPr>
      <w:r>
        <w:t>The GPU Economy Demands Institutional Scale</w:t>
      </w:r>
    </w:p>
    <w:p>
      <w:r>
        <w:t>The GPU secondary market is not a collection of small transactions. It is an industrial-scale asset class operating at speeds and volumes that most capital structures cannot absorb. Consider a single representative transaction: AWS upgrading 50,000 chips in a single refresh cycle generates a GPU lot worth approximately $500M — one transaction, one counterparty, one closing window. At $10B+ in combined purchasing power, turning 6 times per year, Flux operates at $60B+ in effective annual throughput — the scale required to absorb these lots without capital hesitation, on any given day. This throughput figure is substantiated in the capital structure section below.</w:t>
      </w:r>
    </w:p>
    <w:p>
      <w:r>
        <w:t>This is why the $10B+ combined purchasing power is not an aspirational target — it is the minimum threshold for institutional credibility. Below that threshold, Flux cannot make credible FPA commitments to Tier 1 suppliers, cannot guarantee same-week settlement on large lots, and cannot secure NVIDIA's unwavering support or build the supply and demand credibility required to become the binding FPA counterparty of choice for the world's largest GPU holders.</w:t>
      </w:r>
    </w:p>
    <w:p>
      <w:pPr>
        <w:pStyle w:val="Heading2"/>
      </w:pPr>
      <w:r>
        <w:t>Capital Strategy: 20% Equity, 80% Trade Finance</w:t>
      </w:r>
    </w:p>
    <w:p>
      <w:r>
        <w:t>The $10B+ purchasing power is structured as $2B equity capital and $8B in trade finance facilities. This is not an arbitrary ratio — it is engineered for maximum capital efficiency given the specific characteristics of the GPU secondary market.</w:t>
      </w:r>
    </w:p>
    <w:p>
      <w:pPr>
        <w:pStyle w:val="Heading3"/>
      </w:pPr>
      <w:r>
        <w:t>Why 80% Trade Finance</w:t>
      </w:r>
    </w:p>
    <w:p>
      <w:r>
        <w:t>GPU transactions are short-cycle by nature: acquire, certify, and sell in 60–90 days. This is the ideal profile for trade finance instruments — self-liquidating, asset-backed, with identifiable counterparties. Trade finance is structurally cheaper than equity (6–8% cost of capital versus 15–20%+ for equity), scales without dilution, and revolves. The $8B trade finance facility at 6 annual turns generates $48B per year in purchasing throughput from the facility alone. Combined with $2B in equity capital also turning at 6x, total effective annual throughput reaches $60B+ — the equity-equivalent of a $25B+ fund at a fraction of the cost and without dilution.</w:t>
      </w:r>
    </w:p>
    <w:p>
      <w:r>
        <w:t>The $8B trade finance stack also creates a barrier to entry that equity alone cannot replicate. Arranging Supply Chain Finance, Line of Credit, Factoring, and Trade Credit Insurance facilities of this scale requires 12–24 months of banking relationships, supplier FPA track record, and auditable transaction history. Flux's global supply chain and distribution network capabilities, combined with its global technology and marketplace platform, are what make this facility arrangeable — and what make it irreplicable by a later entrant.</w:t>
      </w:r>
    </w:p>
    <w:p>
      <w:pPr>
        <w:pStyle w:val="Heading3"/>
      </w:pPr>
      <w:r>
        <w:t>Why 20% Equity — And Why First Loss</w:t>
      </w:r>
    </w:p>
    <w:p>
      <w:r>
        <w:t>The $2B equity position serves three functions. First, it is the first-loss capital that makes the $8B trade finance facility obtainable — banks and SCF providers require equity skin-in-the-game, and a $2B equity buffer absorbs the first tranche of any loss scenario, materially reducing the perceived risk of the trade finance stack. Second, it funds the operational infrastructure that trade finance cannot touch: ITAD network buildout, certification capability, technology platform, and the Global South Reserve Pool SPV. Third, it provides the balance sheet credibility required to make binding FPA commitments to Tier 1 suppliers before a single deal closes.</w:t>
      </w:r>
    </w:p>
    <w:p>
      <w:pPr>
        <w:pStyle w:val="Heading2"/>
      </w:pPr>
      <w:r>
        <w:t>Section 1 — Equity Capital</w:t>
      </w:r>
    </w:p>
    <w:p>
      <w:pPr>
        <w:pStyle w:val="Heading3"/>
      </w:pPr>
      <w:r>
        <w:t>Unified Digital Group — Seed &amp; First Loss Capital</w:t>
      </w:r>
    </w:p>
    <w:p>
      <w:r>
        <w:t>Unified Digital Group (UDG), acting through its sovereign wealth fund relationships, is prepared to commit $2B in seed and first-loss operating capital to Flux at launch. This capital is positioned as the founding equity tranche: it absorbs losses before any co-investor is impacted, funds the full operational buildout, and establishes the balance sheet required to arrange the trade finance facility. UDG's commitment is unconditional at the launch threshold — Flux does not require external equity to begin operations.</w:t>
      </w:r>
    </w:p>
    <w:p>
      <w:r>
        <w:t>UDG is willing to reduce its founding position to create cap table capacity for a small number of strategic capital partners. The rationale for doing so is specific: Global North institutional investors — Western big tech, large asset managers, and US-centric financial institutions — are accustomed to co-investing with entities whose governance, reporting, and institutional frameworks they recognize. Sovereign wealth fund capital, while substantial, can introduce uncertainty for these counterparties. Bringing one or more recognized Western institutional partners onto the cap table resolves that uncertainty and opens doors — to trade finance counterparties, to NVIDIA relationship depth, to regulatory credibility in Western markets — that UDG's sovereign relationships alone do not. The criteria for a strategic partner are narrow: the partner must bring more than capital.</w:t>
      </w:r>
    </w:p>
    <w:p>
      <w:pPr>
        <w:pStyle w:val="Heading3"/>
      </w:pPr>
      <w:r>
        <w:t>Strategic Capital Partners — Target Profile</w:t>
      </w:r>
    </w:p>
    <w:p>
      <w:r>
        <w:t>Flux is in dialogue with a select group of institutional partners whose participation would accelerate one or more strategic objectives. Target partners include:</w:t>
      </w:r>
    </w:p>
    <w:p>
      <w:pPr/>
      <w:r>
        <w:rPr>
          <w:b/>
        </w:rPr>
        <w:t xml:space="preserve">BlackRock. </w:t>
      </w:r>
      <w:r>
        <w:t>Asset management at scale — natural anchor for the GPU-backed securities program and the $5B+ AI Infrastructure Fund. BlackRock's BUIDL validates institutional appetite for real-world asset tokenization; their distribution network transforms Flux financial products into a global institutional offering.</w:t>
      </w:r>
    </w:p>
    <w:p>
      <w:pPr/>
      <w:r>
        <w:rPr>
          <w:b/>
        </w:rPr>
        <w:t xml:space="preserve">Apollo / Ares. </w:t>
      </w:r>
      <w:r>
        <w:t>Alternative credit expertise — ideal co-investors in the GPU-backed lending and leasing programs. Deep experience structuring asset-backed credit at scale in new asset classes. Either firm anchors the institutional credit stack.</w:t>
      </w:r>
    </w:p>
    <w:p>
      <w:pPr/>
      <w:r>
        <w:rPr>
          <w:b/>
        </w:rPr>
        <w:t xml:space="preserve">Sequoia Capital. </w:t>
      </w:r>
      <w:r>
        <w:t>Technology growth equity — credibility with the NCP and neo-cloud buyer community, which represents the highest-velocity Tier 2 supply source. Sequoia relationships accelerate FPA signings across the portfolio.</w:t>
      </w:r>
    </w:p>
    <w:p>
      <w:pPr/>
      <w:r>
        <w:rPr>
          <w:b/>
        </w:rPr>
        <w:t xml:space="preserve">Geo-Distributed Sovereign Wealth. </w:t>
      </w:r>
      <w:r>
        <w:t>Flux specifically targets sovereign wealth partners operating in the Global South distribution geography: MEA, SE Asia, and LATAM. These partners do more than provide capital — they represent the buyer-side relationships and in-market credibility that the Global South Reserve Pool requires to operate at scale. Mubadala (UAE/MEA), Temasek (SE Asia), and equivalent LATAM sovereign vehicles are the target profile. Their participation transforms Flux's GS mission from a capital commitment into a distribution network.</w:t>
      </w:r>
    </w:p>
    <w:p>
      <w:pPr/>
      <w:r>
        <w:rPr>
          <w:b/>
        </w:rPr>
        <w:t xml:space="preserve">SoftBank / Vision Fund. </w:t>
      </w:r>
      <w:r>
        <w:t>Scale capital with AI infrastructure conviction — Vision Fund's portfolio spans every layer of the AI stack. Co-investment aligns Flux with the largest AI-dedicated capital pool outside sovereign wealth.</w:t>
      </w:r>
    </w:p>
    <w:p/>
    <w:p>
      <w:r>
        <w:t>Cap table participation is structured as a one-time allocation at launch. There is no ongoing Series A/B/C cadence — Flux is not a venture-stage company. Partners acquire their position at founding terms alongside UDG's seed commitment. The cap table closes when strategic requirements are met, not when a fundraising target is hit. Flux has NVIDIA's support and the operational foundation to proceed. Strategic partners participate on these terms or observe from the outside.</w:t>
      </w:r>
    </w:p>
    <w:p>
      <w:pPr>
        <w:pStyle w:val="Heading2"/>
      </w:pPr>
      <w:r>
        <w:t>Section 2 — Trade Finance: Commercial Facility ($8B)</w:t>
      </w:r>
    </w:p>
    <w:p>
      <w:r>
        <w:t>The commercial facility is structured across four instruments sized for maximum speed and market share. The binding logic: SCF is pre-approved and frictionless on known supplier FPAs, making it the fastest acquisition engine. The LOC captures opportunistic deals too fast for SCF documentation. Factoring accelerates the cash return cycle. TCI wraps emerging market buyer risk, making otherwise-uninsurable receivables bankable.</w:t>
      </w:r>
    </w:p>
    <w:p>
      <w:pPr>
        <w:pStyle w:val="Heading3"/>
      </w:pPr>
      <w:r>
        <w:t>Supply Chain Finance — $4.5B (56%)</w:t>
      </w:r>
    </w:p>
    <w:p>
      <w:r>
        <w:t>When supplier FPAs are signed, SCF is the fastest instrument per transaction — pre-approved against known counterparties, no per-deal credit review. A $4.5B SCF means Flux can say yes to every supplier lot that comes in without capital hesitation. At 6 turns that's $27B/yr in purchasing power from SCF alone. Combined with 90-day extended payment terms, Flux's own $2B capital never gets consumed by purchases — it stays free to deploy elsewhere. This is the market share engine.</w:t>
      </w:r>
    </w:p>
    <w:p>
      <w:pPr>
        <w:pStyle w:val="Heading3"/>
      </w:pPr>
      <w:r>
        <w:t>Line of Credit — $2.0B (25%)</w:t>
      </w:r>
    </w:p>
    <w:p>
      <w:r>
        <w:t>The speed lever for deals that move faster than SCF can be documented. A hyperscaler calls on Wednesday and wants to move 80K units by Friday — the LOC handles it, SCF wraps it up after. Without a sizeable LOC, Flux will miss the opportunistic deals that no competitor can move on either. Expensive per dollar but the optionality is worth it at this stage of market capture.</w:t>
      </w:r>
    </w:p>
    <w:p>
      <w:pPr>
        <w:pStyle w:val="Heading3"/>
      </w:pPr>
      <w:r>
        <w:t>Receivables Factoring — $1.0B (12.5%)</w:t>
      </w:r>
    </w:p>
    <w:p>
      <w:r>
        <w:t>Accelerates cash recycling once the book builds. Converts lease contracts, resale invoices, and forward order deposits into immediate capital for redeployment. Less critical in Y1, essential by Y3 when significant receivables are outstanding. Non-recourse factoring against AAA buyers (hyperscalers, NCPs) cleans the balance sheet entirely — improving leverage ratios for the next raise and the GPU-backed securities program.</w:t>
      </w:r>
    </w:p>
    <w:p>
      <w:pPr>
        <w:pStyle w:val="Heading3"/>
      </w:pPr>
      <w:r>
        <w:t>Trade Credit Insurance — $500M (6.5%)</w:t>
      </w:r>
    </w:p>
    <w:p>
      <w:r>
        <w:t>Not a traditional facility — this is a premium budget. At ~1% average premium it insures ~$50B of EM receivables over the program life. Every deal in Africa, MENA, and SE Asia that competitors won't touch because they can't get non-recourse factoring — Flux can. TCI wraps the buyer-side credit risk, making otherwise-uninsurable receivables bankable. This is the geopolitical moat in financial instrument form.</w:t>
      </w:r>
    </w:p>
    <w:p>
      <w:pPr>
        <w:pStyle w:val="Heading2"/>
      </w:pPr>
      <w:r>
        <w:t>Section 3 — Global South Reserve Pool &amp; Development Finance Layer</w:t>
      </w:r>
    </w:p>
    <w:p>
      <w:r>
        <w:t>The commercial facility alone would allow Global North buyers — hyperscalers, large enterprises — to absorb all available certified GPU inventory at market rates. Without a structural intervention, Global South buyers face two compounding barriers: they are outbid on price, and in many cases export compliance rules delay or prohibit access to current-generation GPUs entirely. The certified secondary market — where prior-generation GPUs have cleared the relevant export thresholds — is in many cases the only legal path to AI compute access that exists for these buyers. The Global South Reserve Pool addresses this directly: a dedicated percentage of Flux's monthly ITAD throughput is ring-fenced for development-finance-backed buyers, protected from commercial market forces regardless of Global North demand.</w:t>
      </w:r>
    </w:p>
    <w:p>
      <w:r>
        <w:t>Development Finance Institutions (DFIs) and Export Credit Agencies (ECAs) guarantee this inventory pool — meaning Flux holds the units, carries no credit risk on EM buyers, and has guaranteed offtake. This operationalizes Flux's AI democratization mission at a structural level, not just a stated one.</w:t>
      </w:r>
    </w:p>
    <w:p>
      <w:pPr>
        <w:pStyle w:val="Heading3"/>
      </w:pPr>
      <w:r>
        <w:t>US Development Finance Corporation (DFC) — Anchor Institution</w:t>
      </w:r>
    </w:p>
    <w:p>
      <w:r>
        <w:t>DFC is the most powerful piece of the development finance stack for Flux specifically. Created in 2018 explicitly to counter China's Belt &amp; Road influence in developing markets, with a $60B authorization. Unlike most DFIs, DFC can provide loans, guarantees, political risk insurance, AND equity investment. Its mandate is to advance US foreign policy by backing private investment in developing countries.</w:t>
      </w:r>
    </w:p>
    <w:p>
      <w:r>
        <w:t>Flux placing NVIDIA-certified Western AI compute into Global South countries instead of Huawei/Chinese silicon is a US foreign policy objective. DFC was designed to fund exactly this play. DFC doesn't just want a return — it needs these deals to happen for geopolitical reasons, making it a strategic co-investor with aligned interests.</w:t>
      </w:r>
    </w:p>
    <w:p>
      <w:r>
        <w:t>DFC's role in the reserve pool: provide the guarantee layer that makes EM deals commercially viable, potentially take an equity position in the reserve pool SPV, and provide political risk coverage on sovereign transactions. DFC involvement transforms the reserve pool from a commercial arrangement into a US foreign policy instrument. When a West African or Southeast Asian government sees DFC behind the deal, they are receiving a US government endorsement of their sovereign AI program — no Chinese competitor can replicate this.</w:t>
      </w:r>
    </w:p>
    <w:p>
      <w:pPr>
        <w:pStyle w:val="Heading3"/>
      </w:pPr>
      <w:r>
        <w:t>IFC (World Bank Group) — Global Backstop</w:t>
      </w:r>
    </w:p>
    <w:p>
      <w:r>
        <w:t>IFC's Global Trade Finance Program (GTFP) provides guarantees to confirming banks for trade transactions in EM markets. Critically, this covers bank counterparty risk — not just buyer credit risk — enabling commercial banks to accept trade instruments from EM banks they would otherwise refuse. IFC sits behind all regional DFIs as the universal backstop and lends multilateral credibility that bilateral institutions (including DFC) cannot provide alone.</w:t>
      </w:r>
    </w:p>
    <w:p>
      <w:pPr>
        <w:pStyle w:val="Heading3"/>
      </w:pPr>
      <w:r>
        <w:t>Regional DFIs — Geographic Coverage</w:t>
      </w:r>
    </w:p>
    <w:p>
      <w:r>
        <w:t>AfDB (Africa), ADB (Asia Pacific), IsDB (MENA — Sharia-compliant Murabaha structures), and IDB (Latin America) provide regional guarantee and co-lending capacity that maps directly to Flux's geographic distribution strategy. Each regional DFI brings sovereign buyer relationships, local currency instruments, and in-country credibility that no commercial bank can replicate.</w:t>
      </w:r>
    </w:p>
    <w:p>
      <w:pPr>
        <w:pStyle w:val="Heading3"/>
      </w:pPr>
      <w:r>
        <w:t>US EXIM Bank — Export Credit for US-Origin GPUs</w:t>
      </w:r>
    </w:p>
    <w:p>
      <w:r>
        <w:t>EXIM provides working capital guarantees and buyer financing for US-origin goods exports. NVIDIA-certified GPUs with a US-origin nexus may qualify, enabling EXIM financing on the buyer side for US-aligned sovereign purchases. Increasingly active in technology and semiconductor financing. Particularly relevant for deals where the buyer is a foreign government or parastatal — EXIM's involvement provides political cover and favorable financing terms that commercial banks cannot match.</w:t>
      </w:r>
    </w:p>
    <w:p>
      <w:pPr>
        <w:pStyle w:val="Heading3"/>
      </w:pPr>
      <w:r>
        <w:t>Unit Economics Design: DFI as Price Equalizer</w:t>
      </w:r>
    </w:p>
    <w:p>
      <w:r>
        <w:t>The development finance layer is not structured as a subsidy in the charitable sense — it is a price equalization mechanism. The governing design principle is that Flux must be economically indifferent between supplying a Global North buyer at market price and a Global South buyer at concessional price. If the DFI architecture fails to close this gap, Flux faces a rational economic incentive to under-supply the reserve pool and redirect inventory to higher-margin Global North deals. The reserve pool becomes structural only when that incentive is fully neutralized.</w:t>
      </w:r>
    </w:p>
    <w:p>
      <w:r>
        <w:t>The equalization is derived at the unit level. For any given GPU unit transacting through the Global South Reserve Pool:</w:t>
      </w:r>
    </w:p>
    <w:p>
      <w:r>
        <w:t>Required DFI subsidy per unit  =  (GN market price − GS concessional price)  +  DFI guarantee fee  +  inventory carry cost</w:t>
      </w:r>
    </w:p>
    <w:p>
      <w:r>
        <w:t>Inventory carry cost = acquisition cost × cost of capital × MIN(actual hold days, 120-day cap) ÷ 365. The 120-day cap is both the DFI subsidy ceiling and the release trigger: if no GS deal closes within 120 days, the unit returns to the Global North pool. This structure removes any incentive to artificially extend hold duration. When the full equation is satisfied, Flux's margin on a Global South transaction equals its margin on a Global North transaction. All three parties — investors, DFIs, and GS buyers — are served by the same mechanism.</w:t>
      </w:r>
    </w:p>
    <w:p>
      <w:pPr>
        <w:pStyle w:val="Heading2"/>
      </w:pPr>
      <w:r>
        <w:t>Section 4 — The Full Capital Stack</w:t>
      </w:r>
    </w:p>
    <w:p>
      <w:r>
        <w:t>The four layers work in sequence. Equity capital funds operations and provides the first-loss buffer. Commercial trade finance handles high-grade counterparties at speed and scale. The development finance layer ring-fences Global South inventory, provides guarantees that de-risk EM deals for commercial co-lenders, and transforms the program into a US foreign policy instrument. Together the stack ensures no deal is left on the table — from a hyperscaler offloading 100K H100s to a West African sovereign AI program acquiring its first 5K units.</w:t>
      </w:r>
    </w:p>
    <w:p>
      <w:pPr>
        <w:pStyle w:val="Heading3"/>
      </w:pPr>
      <w:r>
        <w:t>Global South Reserve Pool</w:t>
      </w:r>
    </w:p>
    <w:p>
      <w:r>
        <w:t>A dedicated percentage of Flux's monthly ITAD throughput is held in the Global South Reserve Pool — ring-fenced from commercial market absorption regardless of Global North demand. DFIs guarantee offtake. Flux carries no credit risk. The pool is structured as a separate SPV with DFC equity, IFC GTFP guarantees, and regional DFI co-lending by geography. This is the structural answer to the AI Divide: not a stated commitment, but a capitalized, DFI-backed mechanism that ensures certified AI compute reaches emerging markets at scale.</w:t>
      </w:r>
    </w:p>
    <w:p>
      <w:pPr>
        <w:pStyle w:val="Heading3"/>
      </w:pPr>
      <w:r>
        <w:t>Counterparty Risk Note</w:t>
      </w:r>
    </w:p>
    <w:p>
      <w:r>
        <w:t>HSBC excluded across all commercial facilities. HK National Security Law creates a potential data visibility risk — legally required to share transaction data with mainland Chinese authorities on request. Incompatible with Flux's positioning as a Western-aligned, US export-controlled GPU platform and with the expectations of US-centric founding partners and DFC/EXIM participation requirements. Standard Chartered replaces HSBC as the primary EM corridor specialist: same Africa/MENA/SE Asia footprint, UK-headquartered, no China conflict.</w:t>
      </w:r>
    </w:p>
    <w:p>
      <w:pPr>
        <w:pStyle w:val="Heading2"/>
      </w:pPr>
      <w:r>
        <w:t>Conclusion — A Capital Architecture Built for the Mission</w:t>
      </w:r>
    </w:p>
    <w:p>
      <w:r>
        <w:t>Every element of this capital structure is derived from one requirement: the ability to say yes to any GPU transaction, in any market, at any scale, on any given day — and to do so in a way that ensures the Global South is not excluded from the AI era. The $2B UDG first-loss commitment anchors the $8B trade finance facility. The facility funds the throughput. The DFI layer closes the last structural gap, making Global South supply economically equivalent to Global North supply through an auditable, capitalized, 120-day mechanism — not a stated commitment.</w:t>
      </w:r>
    </w:p>
    <w:p>
      <w:r>
        <w:t>This capital architecture is not raised to build the business — it is the business. The trade finance stack, the DFI relationships, the BIS compliance infrastructure, and the US foreign policy alignment are each multi-year advantages that no well-capitalized competitor can replicate on a short timeline. Flux has NVIDIA's support. The operational foundation is in place. Strategic partners who recognize what this window represents will move. The rest will watch.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72C4"/>
        <w:sz w:val="16"/>
      </w:rPr>
      <w:t>Confidential  |  Unified Digital Group  |  For Authorized Recipients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