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F36A1" w14:textId="77777777" w:rsidR="00AC2DB5" w:rsidRPr="00AC2DB5" w:rsidRDefault="00AC2DB5" w:rsidP="00AC2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2D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21324DD8" w14:textId="77777777" w:rsidR="00AC2DB5" w:rsidRDefault="00AC2DB5" w:rsidP="00AC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2DB5">
        <w:rPr>
          <w:rFonts w:ascii="Times New Roman" w:eastAsia="Times New Roman" w:hAnsi="Times New Roman" w:cs="Times New Roman"/>
          <w:kern w:val="0"/>
          <w14:ligatures w14:val="none"/>
        </w:rPr>
        <w:t xml:space="preserve">These tools collectively enable organizations to establish a robust data governance framework, ensuring data is well-managed, secure, and compliant with regulatory requirements. </w:t>
      </w:r>
    </w:p>
    <w:p w14:paraId="54BFC13D" w14:textId="5095E300" w:rsidR="00AC2DB5" w:rsidRPr="00AC2DB5" w:rsidRDefault="00AC2DB5" w:rsidP="00AC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2D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Purview</w:t>
      </w:r>
      <w:proofErr w:type="gramStart"/>
      <w:r w:rsidRPr="00AC2DB5">
        <w:rPr>
          <w:rFonts w:ascii="Times New Roman" w:eastAsia="Times New Roman" w:hAnsi="Times New Roman" w:cs="Times New Roman"/>
          <w:kern w:val="0"/>
          <w14:ligatures w14:val="none"/>
        </w:rPr>
        <w:t>, in particular</w:t>
      </w:r>
      <w:r w:rsidRPr="00AC2DB5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, stands</w:t>
      </w:r>
      <w:proofErr w:type="gramEnd"/>
      <w:r w:rsidRPr="00AC2DB5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out as a comprehensive solution for managing and governing data across an organization's entire data estate</w:t>
      </w:r>
      <w:r w:rsidRPr="00AC2D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B74A62" w14:textId="77777777" w:rsidR="00CC3AB6" w:rsidRDefault="00CC3AB6"/>
    <w:sectPr w:rsidR="00CC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B6"/>
    <w:rsid w:val="00AC2DB5"/>
    <w:rsid w:val="00CC3AB6"/>
    <w:rsid w:val="00E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19A6"/>
  <w15:chartTrackingRefBased/>
  <w15:docId w15:val="{DBDE6920-64AF-42D4-B8D8-3A6783C1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3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A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2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8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2024-07-04T16:56:00Z</dcterms:created>
  <dcterms:modified xsi:type="dcterms:W3CDTF">2024-07-04T16:57:00Z</dcterms:modified>
</cp:coreProperties>
</file>