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3BAC4" w14:textId="77777777" w:rsidR="00B2713D" w:rsidRPr="00B2713D" w:rsidRDefault="00B2713D" w:rsidP="00B27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Purview</w:t>
      </w:r>
      <w:r w:rsidRPr="00B2713D">
        <w:rPr>
          <w:rFonts w:ascii="Times New Roman" w:eastAsia="Times New Roman" w:hAnsi="Times New Roman" w:cs="Times New Roman"/>
          <w:kern w:val="0"/>
          <w14:ligatures w14:val="none"/>
        </w:rPr>
        <w:t xml:space="preserve"> (formerly Azure Purview) is a comprehensive data governance solution that offers several key features:</w:t>
      </w:r>
    </w:p>
    <w:p w14:paraId="15C0AFC5" w14:textId="77777777" w:rsidR="00B2713D" w:rsidRPr="00B2713D" w:rsidRDefault="00B2713D" w:rsidP="00B27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Discovery and Classification:</w:t>
      </w:r>
    </w:p>
    <w:p w14:paraId="1C23E5BF" w14:textId="77777777" w:rsidR="00B2713D" w:rsidRPr="00B2713D" w:rsidRDefault="00B2713D" w:rsidP="00B271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13D">
        <w:rPr>
          <w:rFonts w:ascii="Times New Roman" w:eastAsia="Times New Roman" w:hAnsi="Times New Roman" w:cs="Times New Roman"/>
          <w:kern w:val="0"/>
          <w14:ligatures w14:val="none"/>
        </w:rPr>
        <w:t>Automatically scans and classifies data across your data estate, including on-premises, multi-cloud, and SaaS data sources.</w:t>
      </w:r>
    </w:p>
    <w:p w14:paraId="28318750" w14:textId="77777777" w:rsidR="00B2713D" w:rsidRPr="00B2713D" w:rsidRDefault="00B2713D" w:rsidP="00B27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Cataloging:</w:t>
      </w:r>
    </w:p>
    <w:p w14:paraId="0F20C103" w14:textId="77777777" w:rsidR="00B2713D" w:rsidRPr="00B2713D" w:rsidRDefault="00B2713D" w:rsidP="00B271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13D">
        <w:rPr>
          <w:rFonts w:ascii="Times New Roman" w:eastAsia="Times New Roman" w:hAnsi="Times New Roman" w:cs="Times New Roman"/>
          <w:kern w:val="0"/>
          <w14:ligatures w14:val="none"/>
        </w:rPr>
        <w:t>Creates a holistic, up-to-date map of your data landscape with technical, semantic, and operational metadata.</w:t>
      </w:r>
    </w:p>
    <w:p w14:paraId="7699455C" w14:textId="77777777" w:rsidR="00B2713D" w:rsidRPr="00B2713D" w:rsidRDefault="00B2713D" w:rsidP="00B27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Lineage:</w:t>
      </w:r>
    </w:p>
    <w:p w14:paraId="7106E03E" w14:textId="77777777" w:rsidR="00B2713D" w:rsidRPr="00B2713D" w:rsidRDefault="00B2713D" w:rsidP="00B271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13D">
        <w:rPr>
          <w:rFonts w:ascii="Times New Roman" w:eastAsia="Times New Roman" w:hAnsi="Times New Roman" w:cs="Times New Roman"/>
          <w:kern w:val="0"/>
          <w14:ligatures w14:val="none"/>
        </w:rPr>
        <w:t>Provides end-to-end data lineage visualization, helping track the flow of data across various systems and transformations.</w:t>
      </w:r>
    </w:p>
    <w:p w14:paraId="2FD59440" w14:textId="77777777" w:rsidR="00B2713D" w:rsidRPr="00B2713D" w:rsidRDefault="00B2713D" w:rsidP="00B271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 and Compliance:</w:t>
      </w:r>
    </w:p>
    <w:p w14:paraId="2FA51A1E" w14:textId="77777777" w:rsidR="00B2713D" w:rsidRPr="00B2713D" w:rsidRDefault="00B2713D" w:rsidP="00B271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713D">
        <w:rPr>
          <w:rFonts w:ascii="Times New Roman" w:eastAsia="Times New Roman" w:hAnsi="Times New Roman" w:cs="Times New Roman"/>
          <w:kern w:val="0"/>
          <w14:ligatures w14:val="none"/>
        </w:rPr>
        <w:t>Helps ensure compliance with regulations by managing data policies and implementing data access controls.</w:t>
      </w:r>
    </w:p>
    <w:p w14:paraId="4BCBE240" w14:textId="77777777" w:rsidR="00597E8D" w:rsidRDefault="00597E8D"/>
    <w:sectPr w:rsidR="0059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A3DDD"/>
    <w:multiLevelType w:val="multilevel"/>
    <w:tmpl w:val="2F36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90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8D"/>
    <w:rsid w:val="00597E8D"/>
    <w:rsid w:val="00B2713D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E87E6-E879-4B2E-B0A3-BB92FF39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7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271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2024-07-04T16:52:00Z</dcterms:created>
  <dcterms:modified xsi:type="dcterms:W3CDTF">2024-07-04T16:52:00Z</dcterms:modified>
</cp:coreProperties>
</file>