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C047C" w14:textId="75D57BD3" w:rsidR="003F3AEE" w:rsidRDefault="007429D6">
      <w:hyperlink r:id="rId5" w:history="1">
        <w:r w:rsidRPr="00AC7F03">
          <w:rPr>
            <w:rStyle w:val="Hyperlink"/>
          </w:rPr>
          <w:t>https://learn.microsoft.com/en-us/sql/relational-databases/performance/query-store-for-secondary-replicas?view=sql-server-ver16</w:t>
        </w:r>
      </w:hyperlink>
    </w:p>
    <w:p w14:paraId="64EBA69C" w14:textId="77777777" w:rsidR="007429D6" w:rsidRPr="007429D6" w:rsidRDefault="007429D6" w:rsidP="007429D6">
      <w:pPr>
        <w:rPr>
          <w:b/>
          <w:bCs/>
        </w:rPr>
      </w:pPr>
      <w:r w:rsidRPr="007429D6">
        <w:rPr>
          <w:b/>
          <w:bCs/>
        </w:rPr>
        <w:t>Query Store for secondary replicas</w:t>
      </w:r>
    </w:p>
    <w:p w14:paraId="0F09CDD0" w14:textId="4C9A0E44" w:rsidR="00A36176" w:rsidRPr="00AE3A05" w:rsidRDefault="00A36176" w:rsidP="00AE3A05">
      <w:pPr>
        <w:numPr>
          <w:ilvl w:val="0"/>
          <w:numId w:val="3"/>
        </w:numPr>
      </w:pPr>
      <w:hyperlink r:id="rId6" w:anchor="see-also" w:history="1">
        <w:r w:rsidRPr="00A36176">
          <w:rPr>
            <w:rStyle w:val="Hyperlink"/>
          </w:rPr>
          <w:t>See also</w:t>
        </w:r>
      </w:hyperlink>
      <w:r w:rsidRPr="00A36E36">
        <w:t xml:space="preserve"> -&gt;</w:t>
      </w:r>
    </w:p>
    <w:p w14:paraId="104C0254" w14:textId="77777777" w:rsidR="00AE3A05" w:rsidRPr="00AE3A05" w:rsidRDefault="00AE3A05" w:rsidP="00AE3A05">
      <w:pPr>
        <w:numPr>
          <w:ilvl w:val="0"/>
          <w:numId w:val="2"/>
        </w:numPr>
      </w:pPr>
      <w:hyperlink r:id="rId7" w:history="1">
        <w:r w:rsidRPr="00AE3A05">
          <w:rPr>
            <w:rStyle w:val="Hyperlink"/>
          </w:rPr>
          <w:t>ALTER DATABASE SET options (Transact-SQL)</w:t>
        </w:r>
      </w:hyperlink>
    </w:p>
    <w:p w14:paraId="4F0207BD" w14:textId="77777777" w:rsidR="00AE3A05" w:rsidRPr="00AE3A05" w:rsidRDefault="00AE3A05" w:rsidP="00AE3A05">
      <w:pPr>
        <w:numPr>
          <w:ilvl w:val="0"/>
          <w:numId w:val="2"/>
        </w:numPr>
      </w:pPr>
      <w:hyperlink r:id="rId8" w:history="1">
        <w:r w:rsidRPr="00AE3A05">
          <w:rPr>
            <w:rStyle w:val="Hyperlink"/>
          </w:rPr>
          <w:t>sys.database_query_store_options (Transact-SQL)</w:t>
        </w:r>
      </w:hyperlink>
    </w:p>
    <w:p w14:paraId="1BEFB27B" w14:textId="77777777" w:rsidR="00AE3A05" w:rsidRPr="00AE3A05" w:rsidRDefault="00AE3A05" w:rsidP="00AE3A05">
      <w:pPr>
        <w:numPr>
          <w:ilvl w:val="0"/>
          <w:numId w:val="2"/>
        </w:numPr>
      </w:pPr>
      <w:hyperlink r:id="rId9" w:history="1">
        <w:r w:rsidRPr="00AE3A05">
          <w:rPr>
            <w:rStyle w:val="Hyperlink"/>
          </w:rPr>
          <w:t>sys.query_store_replicas</w:t>
        </w:r>
      </w:hyperlink>
    </w:p>
    <w:p w14:paraId="559EE3D6" w14:textId="77777777" w:rsidR="00AE3A05" w:rsidRPr="00AE3A05" w:rsidRDefault="00AE3A05" w:rsidP="00AE3A05">
      <w:pPr>
        <w:numPr>
          <w:ilvl w:val="0"/>
          <w:numId w:val="2"/>
        </w:numPr>
      </w:pPr>
      <w:hyperlink r:id="rId10" w:history="1">
        <w:r w:rsidRPr="00AE3A05">
          <w:rPr>
            <w:rStyle w:val="Hyperlink"/>
          </w:rPr>
          <w:t>sys.query_store_plan_forcing_locations (Transact-SQL)</w:t>
        </w:r>
      </w:hyperlink>
    </w:p>
    <w:p w14:paraId="4B9769B3" w14:textId="77777777" w:rsidR="00AE3A05" w:rsidRDefault="00AE3A05" w:rsidP="00AE3A05">
      <w:pPr>
        <w:numPr>
          <w:ilvl w:val="0"/>
          <w:numId w:val="2"/>
        </w:numPr>
      </w:pPr>
      <w:hyperlink r:id="rId11" w:history="1">
        <w:r w:rsidRPr="00AE3A05">
          <w:rPr>
            <w:rStyle w:val="Hyperlink"/>
          </w:rPr>
          <w:t>sys.sp_query_store_force_plan (Transact-SQL)</w:t>
        </w:r>
      </w:hyperlink>
    </w:p>
    <w:p w14:paraId="5F95AB6B" w14:textId="77777777" w:rsidR="000D2EA6" w:rsidRPr="000D2EA6" w:rsidRDefault="000D2EA6" w:rsidP="000D2EA6">
      <w:pPr>
        <w:numPr>
          <w:ilvl w:val="0"/>
          <w:numId w:val="2"/>
        </w:numPr>
      </w:pPr>
      <w:r w:rsidRPr="000D2EA6">
        <w:t>he Query Store for secondary replicas feature enables the same Query Store functionality on secondary replica workloads that is available for primary replicas. When Query Store for secondary replicas is enabled, replicas send the query execution information that would normally be stored in the Query Store back to the primary replica. The primary replica then persists the data to disk within its own Query Store. In essence, there is one Query Store shared between the primary and all secondary replicas. The Query Store exists on the primary replica and stores data for all replicas together. Currently, Query Store for secondary replicas is available with SQL Server 2022 (16.x) instances configured in availability groups.</w:t>
      </w:r>
    </w:p>
    <w:p w14:paraId="0BDE132C" w14:textId="77777777" w:rsidR="000D2EA6" w:rsidRPr="000D2EA6" w:rsidRDefault="000D2EA6" w:rsidP="000D2EA6">
      <w:pPr>
        <w:numPr>
          <w:ilvl w:val="0"/>
          <w:numId w:val="2"/>
        </w:numPr>
        <w:rPr>
          <w:b/>
          <w:bCs/>
        </w:rPr>
      </w:pPr>
      <w:r w:rsidRPr="000D2EA6">
        <w:rPr>
          <w:b/>
          <w:bCs/>
        </w:rPr>
        <w:t> Important</w:t>
      </w:r>
    </w:p>
    <w:p w14:paraId="619236A8" w14:textId="77777777" w:rsidR="000D2EA6" w:rsidRPr="000D2EA6" w:rsidRDefault="000D2EA6" w:rsidP="000D2EA6">
      <w:pPr>
        <w:numPr>
          <w:ilvl w:val="0"/>
          <w:numId w:val="2"/>
        </w:numPr>
      </w:pPr>
      <w:r w:rsidRPr="000D2EA6">
        <w:t>Query Store for secondary replicas is a </w:t>
      </w:r>
      <w:r w:rsidRPr="000D2EA6">
        <w:rPr>
          <w:i/>
          <w:iCs/>
        </w:rPr>
        <w:t>preview</w:t>
      </w:r>
      <w:r w:rsidRPr="000D2EA6">
        <w:t> feature. It is not intended for production deployments. See: </w:t>
      </w:r>
      <w:hyperlink r:id="rId12" w:history="1">
        <w:r w:rsidRPr="000D2EA6">
          <w:rPr>
            <w:rStyle w:val="Hyperlink"/>
            <w:b/>
            <w:bCs/>
          </w:rPr>
          <w:t>SQL Server 2022 (16.0) release notes</w:t>
        </w:r>
      </w:hyperlink>
      <w:r w:rsidRPr="000D2EA6">
        <w:t>.</w:t>
      </w:r>
    </w:p>
    <w:p w14:paraId="4147A34C" w14:textId="77777777" w:rsidR="000D2EA6" w:rsidRPr="000D2EA6" w:rsidRDefault="000D2EA6" w:rsidP="000D2EA6">
      <w:pPr>
        <w:numPr>
          <w:ilvl w:val="0"/>
          <w:numId w:val="2"/>
        </w:numPr>
      </w:pPr>
      <w:r w:rsidRPr="000D2EA6">
        <w:t>You must enable trace flag 12606 before you can enable Query Store for secondary replicas. To enable the </w:t>
      </w:r>
      <w:hyperlink r:id="rId13" w:history="1">
        <w:r w:rsidRPr="000D2EA6">
          <w:rPr>
            <w:rStyle w:val="Hyperlink"/>
            <w:b/>
            <w:bCs/>
          </w:rPr>
          <w:t>trace flags</w:t>
        </w:r>
      </w:hyperlink>
      <w:r w:rsidRPr="000D2EA6">
        <w:t>:</w:t>
      </w:r>
    </w:p>
    <w:p w14:paraId="74507366" w14:textId="77777777" w:rsidR="000D2EA6" w:rsidRPr="000D2EA6" w:rsidRDefault="000D2EA6" w:rsidP="000D2EA6">
      <w:pPr>
        <w:numPr>
          <w:ilvl w:val="0"/>
          <w:numId w:val="2"/>
        </w:numPr>
      </w:pPr>
      <w:r w:rsidRPr="000D2EA6">
        <w:t>In Windows, launch </w:t>
      </w:r>
      <w:hyperlink r:id="rId14" w:history="1">
        <w:r w:rsidRPr="000D2EA6">
          <w:rPr>
            <w:rStyle w:val="Hyperlink"/>
            <w:b/>
            <w:bCs/>
          </w:rPr>
          <w:t>SQL Server Configuration Manager</w:t>
        </w:r>
      </w:hyperlink>
      <w:r w:rsidRPr="000D2EA6">
        <w:t>.</w:t>
      </w:r>
    </w:p>
    <w:p w14:paraId="4D67F342" w14:textId="77777777" w:rsidR="000D2EA6" w:rsidRPr="000D2EA6" w:rsidRDefault="000D2EA6" w:rsidP="000D2EA6">
      <w:pPr>
        <w:numPr>
          <w:ilvl w:val="0"/>
          <w:numId w:val="2"/>
        </w:numPr>
      </w:pPr>
      <w:r w:rsidRPr="000D2EA6">
        <w:t>In the list of </w:t>
      </w:r>
      <w:r w:rsidRPr="000D2EA6">
        <w:rPr>
          <w:b/>
          <w:bCs/>
        </w:rPr>
        <w:t>SQL Server Services</w:t>
      </w:r>
      <w:r w:rsidRPr="000D2EA6">
        <w:t>, right-click on the </w:t>
      </w:r>
      <w:r w:rsidRPr="000D2EA6">
        <w:rPr>
          <w:b/>
          <w:bCs/>
        </w:rPr>
        <w:t>SQL Server</w:t>
      </w:r>
      <w:r w:rsidRPr="000D2EA6">
        <w:t> instance service for your SQL Server 2022 (16.x) instance. Select </w:t>
      </w:r>
      <w:r w:rsidRPr="000D2EA6">
        <w:rPr>
          <w:b/>
          <w:bCs/>
        </w:rPr>
        <w:t>Properties</w:t>
      </w:r>
      <w:r w:rsidRPr="000D2EA6">
        <w:t>.</w:t>
      </w:r>
    </w:p>
    <w:p w14:paraId="27EC17B3" w14:textId="77777777" w:rsidR="000D2EA6" w:rsidRPr="000D2EA6" w:rsidRDefault="000D2EA6" w:rsidP="000D2EA6">
      <w:pPr>
        <w:numPr>
          <w:ilvl w:val="0"/>
          <w:numId w:val="2"/>
        </w:numPr>
      </w:pPr>
      <w:r w:rsidRPr="000D2EA6">
        <w:t>Select the </w:t>
      </w:r>
      <w:r w:rsidRPr="000D2EA6">
        <w:rPr>
          <w:b/>
          <w:bCs/>
        </w:rPr>
        <w:t>Start Parameters</w:t>
      </w:r>
      <w:r w:rsidRPr="000D2EA6">
        <w:t> tab. In the </w:t>
      </w:r>
      <w:r w:rsidRPr="000D2EA6">
        <w:rPr>
          <w:b/>
          <w:bCs/>
        </w:rPr>
        <w:t>Specify a startup parameter:</w:t>
      </w:r>
      <w:r w:rsidRPr="000D2EA6">
        <w:t> field, add the values: -T12606 and select </w:t>
      </w:r>
      <w:r w:rsidRPr="000D2EA6">
        <w:rPr>
          <w:b/>
          <w:bCs/>
        </w:rPr>
        <w:t>Add</w:t>
      </w:r>
      <w:r w:rsidRPr="000D2EA6">
        <w:t>.</w:t>
      </w:r>
    </w:p>
    <w:p w14:paraId="2755F702" w14:textId="77777777" w:rsidR="000D2EA6" w:rsidRPr="000D2EA6" w:rsidRDefault="000D2EA6" w:rsidP="000D2EA6">
      <w:pPr>
        <w:numPr>
          <w:ilvl w:val="0"/>
          <w:numId w:val="2"/>
        </w:numPr>
      </w:pPr>
      <w:r w:rsidRPr="000D2EA6">
        <w:t>The SQL Server instance service must be restarted before the changes will take effect.</w:t>
      </w:r>
    </w:p>
    <w:p w14:paraId="27F1DE6C" w14:textId="77777777" w:rsidR="000D2EA6" w:rsidRPr="000D2EA6" w:rsidRDefault="000D2EA6" w:rsidP="000D2EA6">
      <w:pPr>
        <w:numPr>
          <w:ilvl w:val="0"/>
          <w:numId w:val="2"/>
        </w:numPr>
        <w:rPr>
          <w:b/>
          <w:bCs/>
        </w:rPr>
      </w:pPr>
      <w:r w:rsidRPr="000D2EA6">
        <w:rPr>
          <w:b/>
          <w:bCs/>
        </w:rPr>
        <w:t>Enable Query Store for secondary replicas</w:t>
      </w:r>
    </w:p>
    <w:p w14:paraId="04EE8EC9" w14:textId="77777777" w:rsidR="000D2EA6" w:rsidRPr="000D2EA6" w:rsidRDefault="000D2EA6" w:rsidP="000D2EA6">
      <w:pPr>
        <w:numPr>
          <w:ilvl w:val="0"/>
          <w:numId w:val="2"/>
        </w:numPr>
      </w:pPr>
      <w:r w:rsidRPr="000D2EA6">
        <w:t>Before using Query Store for secondary replicas on a SQL Server instance, you need to have an </w:t>
      </w:r>
      <w:hyperlink r:id="rId15" w:history="1">
        <w:r w:rsidRPr="000D2EA6">
          <w:rPr>
            <w:rStyle w:val="Hyperlink"/>
          </w:rPr>
          <w:t>Always On availability group</w:t>
        </w:r>
      </w:hyperlink>
      <w:r w:rsidRPr="000D2EA6">
        <w:t>. Then, enable Query Store for secondary replicas using </w:t>
      </w:r>
      <w:hyperlink r:id="rId16" w:history="1">
        <w:r w:rsidRPr="000D2EA6">
          <w:rPr>
            <w:rStyle w:val="Hyperlink"/>
          </w:rPr>
          <w:t>ALTER DATABASE SET options (Transact-SQL)</w:t>
        </w:r>
      </w:hyperlink>
      <w:r w:rsidRPr="000D2EA6">
        <w:t>.</w:t>
      </w:r>
    </w:p>
    <w:p w14:paraId="4EE85550" w14:textId="77777777" w:rsidR="000D2EA6" w:rsidRPr="000D2EA6" w:rsidRDefault="000D2EA6" w:rsidP="000D2EA6">
      <w:pPr>
        <w:numPr>
          <w:ilvl w:val="0"/>
          <w:numId w:val="2"/>
        </w:numPr>
      </w:pPr>
      <w:r w:rsidRPr="000D2EA6">
        <w:t>If Query Store is not already enabled and in READ_WRITE mode on the primary replica, you must enable it before proceeding. Execute the following for each desired database on the primary replica:</w:t>
      </w:r>
    </w:p>
    <w:p w14:paraId="421DC2EB" w14:textId="77777777" w:rsidR="000D2EA6" w:rsidRPr="000D2EA6" w:rsidRDefault="000D2EA6" w:rsidP="000D2EA6">
      <w:pPr>
        <w:numPr>
          <w:ilvl w:val="0"/>
          <w:numId w:val="2"/>
        </w:numPr>
      </w:pPr>
      <w:r w:rsidRPr="000D2EA6">
        <w:t>SQLCopy</w:t>
      </w:r>
    </w:p>
    <w:p w14:paraId="0ACB7795" w14:textId="77777777" w:rsidR="000D2EA6" w:rsidRPr="000D2EA6" w:rsidRDefault="000D2EA6" w:rsidP="000D2EA6">
      <w:pPr>
        <w:numPr>
          <w:ilvl w:val="0"/>
          <w:numId w:val="2"/>
        </w:numPr>
      </w:pPr>
      <w:r w:rsidRPr="000D2EA6">
        <w:t>ALTER DATABASE [Database_Name] SET QUERY_STORE = ON;</w:t>
      </w:r>
    </w:p>
    <w:p w14:paraId="3AB74A2C" w14:textId="77777777" w:rsidR="000D2EA6" w:rsidRPr="000D2EA6" w:rsidRDefault="000D2EA6" w:rsidP="000D2EA6">
      <w:pPr>
        <w:numPr>
          <w:ilvl w:val="0"/>
          <w:numId w:val="2"/>
        </w:numPr>
      </w:pPr>
      <w:r w:rsidRPr="000D2EA6">
        <w:t>GO</w:t>
      </w:r>
    </w:p>
    <w:p w14:paraId="24A558EC" w14:textId="77777777" w:rsidR="000D2EA6" w:rsidRPr="000D2EA6" w:rsidRDefault="000D2EA6" w:rsidP="000D2EA6">
      <w:pPr>
        <w:numPr>
          <w:ilvl w:val="0"/>
          <w:numId w:val="2"/>
        </w:numPr>
      </w:pPr>
      <w:r w:rsidRPr="000D2EA6">
        <w:t>ALTER DATABASE [Database_Name] SET QUERY_STORE</w:t>
      </w:r>
    </w:p>
    <w:p w14:paraId="76510E87" w14:textId="77777777" w:rsidR="000D2EA6" w:rsidRPr="000D2EA6" w:rsidRDefault="000D2EA6" w:rsidP="000D2EA6">
      <w:pPr>
        <w:numPr>
          <w:ilvl w:val="0"/>
          <w:numId w:val="2"/>
        </w:numPr>
      </w:pPr>
      <w:r w:rsidRPr="000D2EA6">
        <w:t>( OPERATION_MODE = READ_WRITE );</w:t>
      </w:r>
    </w:p>
    <w:p w14:paraId="1EA7451C" w14:textId="77777777" w:rsidR="000D2EA6" w:rsidRPr="000D2EA6" w:rsidRDefault="000D2EA6" w:rsidP="000D2EA6">
      <w:pPr>
        <w:numPr>
          <w:ilvl w:val="0"/>
          <w:numId w:val="2"/>
        </w:numPr>
      </w:pPr>
      <w:r w:rsidRPr="000D2EA6">
        <w:t>To enable the Query Store on all secondary replicas, connect to the primary replica and execute the following for each desired database. Currently, when the Query Store for secondary replicas is enabled, it is enabled for all secondary replicas.</w:t>
      </w:r>
    </w:p>
    <w:p w14:paraId="12130496" w14:textId="77777777" w:rsidR="000D2EA6" w:rsidRPr="000D2EA6" w:rsidRDefault="000D2EA6" w:rsidP="000D2EA6">
      <w:pPr>
        <w:numPr>
          <w:ilvl w:val="0"/>
          <w:numId w:val="2"/>
        </w:numPr>
      </w:pPr>
      <w:r w:rsidRPr="000D2EA6">
        <w:t>SQLCopy</w:t>
      </w:r>
    </w:p>
    <w:p w14:paraId="7EA3B7EB" w14:textId="77777777" w:rsidR="000D2EA6" w:rsidRPr="000D2EA6" w:rsidRDefault="000D2EA6" w:rsidP="000D2EA6">
      <w:pPr>
        <w:numPr>
          <w:ilvl w:val="0"/>
          <w:numId w:val="2"/>
        </w:numPr>
      </w:pPr>
      <w:r w:rsidRPr="000D2EA6">
        <w:t>ALTER DATABASE [Database_Name]</w:t>
      </w:r>
    </w:p>
    <w:p w14:paraId="69D3B2DF" w14:textId="77777777" w:rsidR="000D2EA6" w:rsidRPr="000D2EA6" w:rsidRDefault="000D2EA6" w:rsidP="000D2EA6">
      <w:pPr>
        <w:numPr>
          <w:ilvl w:val="0"/>
          <w:numId w:val="2"/>
        </w:numPr>
      </w:pPr>
      <w:r w:rsidRPr="000D2EA6">
        <w:t>FOR SECONDARY SET QUERY_STORE = ON (OPERATION_MODE = READ_WRITE );</w:t>
      </w:r>
    </w:p>
    <w:p w14:paraId="798202A1" w14:textId="77777777" w:rsidR="000D2EA6" w:rsidRPr="000D2EA6" w:rsidRDefault="000D2EA6" w:rsidP="000D2EA6">
      <w:pPr>
        <w:numPr>
          <w:ilvl w:val="0"/>
          <w:numId w:val="2"/>
        </w:numPr>
      </w:pPr>
      <w:r w:rsidRPr="000D2EA6">
        <w:t>GO</w:t>
      </w:r>
    </w:p>
    <w:p w14:paraId="0BABD0BB" w14:textId="77777777" w:rsidR="000D2EA6" w:rsidRPr="000D2EA6" w:rsidRDefault="000D2EA6" w:rsidP="000D2EA6">
      <w:pPr>
        <w:numPr>
          <w:ilvl w:val="0"/>
          <w:numId w:val="2"/>
        </w:numPr>
      </w:pPr>
      <w:r w:rsidRPr="000D2EA6">
        <w:t>To disable the Query Store on all secondary replicas, connect to the primary replica and execute the following for each desired database:</w:t>
      </w:r>
    </w:p>
    <w:p w14:paraId="59733B52" w14:textId="77777777" w:rsidR="000D2EA6" w:rsidRPr="000D2EA6" w:rsidRDefault="000D2EA6" w:rsidP="000D2EA6">
      <w:pPr>
        <w:numPr>
          <w:ilvl w:val="0"/>
          <w:numId w:val="2"/>
        </w:numPr>
      </w:pPr>
      <w:r w:rsidRPr="000D2EA6">
        <w:t>SQLCopy</w:t>
      </w:r>
    </w:p>
    <w:p w14:paraId="34B7AB21" w14:textId="77777777" w:rsidR="000D2EA6" w:rsidRPr="000D2EA6" w:rsidRDefault="000D2EA6" w:rsidP="000D2EA6">
      <w:pPr>
        <w:numPr>
          <w:ilvl w:val="0"/>
          <w:numId w:val="2"/>
        </w:numPr>
      </w:pPr>
      <w:r w:rsidRPr="000D2EA6">
        <w:t>ALTER DATABASE [Database_Name]</w:t>
      </w:r>
    </w:p>
    <w:p w14:paraId="052CF1E0" w14:textId="77777777" w:rsidR="000D2EA6" w:rsidRPr="000D2EA6" w:rsidRDefault="000D2EA6" w:rsidP="000D2EA6">
      <w:pPr>
        <w:numPr>
          <w:ilvl w:val="0"/>
          <w:numId w:val="2"/>
        </w:numPr>
      </w:pPr>
      <w:r w:rsidRPr="000D2EA6">
        <w:t>FOR SECONDARY SET QUERY_STORE = OFF;</w:t>
      </w:r>
    </w:p>
    <w:p w14:paraId="2847CC88" w14:textId="77777777" w:rsidR="000D2EA6" w:rsidRPr="000D2EA6" w:rsidRDefault="000D2EA6" w:rsidP="000D2EA6">
      <w:pPr>
        <w:numPr>
          <w:ilvl w:val="0"/>
          <w:numId w:val="2"/>
        </w:numPr>
      </w:pPr>
      <w:r w:rsidRPr="000D2EA6">
        <w:t>GO</w:t>
      </w:r>
    </w:p>
    <w:p w14:paraId="657E530C" w14:textId="77777777" w:rsidR="000D2EA6" w:rsidRPr="000D2EA6" w:rsidRDefault="000D2EA6" w:rsidP="000D2EA6">
      <w:pPr>
        <w:numPr>
          <w:ilvl w:val="0"/>
          <w:numId w:val="2"/>
        </w:numPr>
      </w:pPr>
      <w:r w:rsidRPr="000D2EA6">
        <w:t>You can validate that Query Store is enabled on a secondary replica by connecting to the database on the secondary replica and executing the following:</w:t>
      </w:r>
    </w:p>
    <w:p w14:paraId="3A44E4CD" w14:textId="77777777" w:rsidR="000D2EA6" w:rsidRPr="000D2EA6" w:rsidRDefault="000D2EA6" w:rsidP="000D2EA6">
      <w:pPr>
        <w:numPr>
          <w:ilvl w:val="0"/>
          <w:numId w:val="2"/>
        </w:numPr>
      </w:pPr>
      <w:r w:rsidRPr="000D2EA6">
        <w:t>SQLCopy</w:t>
      </w:r>
    </w:p>
    <w:p w14:paraId="000A6677" w14:textId="77777777" w:rsidR="000D2EA6" w:rsidRPr="000D2EA6" w:rsidRDefault="000D2EA6" w:rsidP="000D2EA6">
      <w:pPr>
        <w:numPr>
          <w:ilvl w:val="0"/>
          <w:numId w:val="2"/>
        </w:numPr>
      </w:pPr>
      <w:r w:rsidRPr="000D2EA6">
        <w:t>SELECT desired_state, desired_state_desc, actual_state, actual_state_desc, readonly_reason</w:t>
      </w:r>
    </w:p>
    <w:p w14:paraId="2A099C7A" w14:textId="77777777" w:rsidR="000D2EA6" w:rsidRPr="000D2EA6" w:rsidRDefault="000D2EA6" w:rsidP="000D2EA6">
      <w:pPr>
        <w:numPr>
          <w:ilvl w:val="0"/>
          <w:numId w:val="2"/>
        </w:numPr>
      </w:pPr>
      <w:r w:rsidRPr="000D2EA6">
        <w:t>FROM sys.database_query_store_options;</w:t>
      </w:r>
    </w:p>
    <w:p w14:paraId="4DC4C578" w14:textId="77777777" w:rsidR="000D2EA6" w:rsidRPr="000D2EA6" w:rsidRDefault="000D2EA6" w:rsidP="000D2EA6">
      <w:pPr>
        <w:numPr>
          <w:ilvl w:val="0"/>
          <w:numId w:val="2"/>
        </w:numPr>
      </w:pPr>
      <w:r w:rsidRPr="000D2EA6">
        <w:t>GO</w:t>
      </w:r>
    </w:p>
    <w:p w14:paraId="10D86935" w14:textId="77777777" w:rsidR="000D2EA6" w:rsidRPr="000D2EA6" w:rsidRDefault="000D2EA6" w:rsidP="000D2EA6">
      <w:pPr>
        <w:numPr>
          <w:ilvl w:val="0"/>
          <w:numId w:val="2"/>
        </w:numPr>
      </w:pPr>
      <w:r w:rsidRPr="000D2EA6">
        <w:t>The following sample results from querying </w:t>
      </w:r>
      <w:hyperlink r:id="rId17" w:history="1">
        <w:r w:rsidRPr="000D2EA6">
          <w:rPr>
            <w:rStyle w:val="Hyperlink"/>
          </w:rPr>
          <w:t>sys.database_query_store_options</w:t>
        </w:r>
      </w:hyperlink>
      <w:r w:rsidRPr="000D2EA6">
        <w:t> indicate that the Query Store is in a READ_CAPTURE_SECONDARY state for the secondary. The readonly_reason of 8 indicates that the query was run against a secondary replica. These results indicate that Query Store has been enabled successfully on the secondary replica.</w:t>
      </w:r>
    </w:p>
    <w:p w14:paraId="5948DD36" w14:textId="77777777" w:rsidR="000D2EA6" w:rsidRPr="000D2EA6" w:rsidRDefault="000D2EA6" w:rsidP="000D2EA6">
      <w:pPr>
        <w:numPr>
          <w:ilvl w:val="0"/>
          <w:numId w:val="2"/>
        </w:numPr>
      </w:pPr>
      <w:r w:rsidRPr="000D2EA6">
        <w:t>Expand table</w:t>
      </w:r>
    </w:p>
    <w:tbl>
      <w:tblPr>
        <w:tblW w:w="10744" w:type="dxa"/>
        <w:tblCellMar>
          <w:top w:w="15" w:type="dxa"/>
          <w:left w:w="15" w:type="dxa"/>
          <w:bottom w:w="15" w:type="dxa"/>
          <w:right w:w="15" w:type="dxa"/>
        </w:tblCellMar>
        <w:tblLook w:val="04A0" w:firstRow="1" w:lastRow="0" w:firstColumn="1" w:lastColumn="0" w:noHBand="0" w:noVBand="1"/>
      </w:tblPr>
      <w:tblGrid>
        <w:gridCol w:w="2237"/>
        <w:gridCol w:w="3903"/>
        <w:gridCol w:w="2107"/>
        <w:gridCol w:w="3903"/>
        <w:gridCol w:w="2569"/>
      </w:tblGrid>
      <w:tr w:rsidR="000D2EA6" w:rsidRPr="000D2EA6" w14:paraId="5B10D3AA" w14:textId="77777777" w:rsidTr="000D2EA6">
        <w:trPr>
          <w:tblHeader/>
        </w:trPr>
        <w:tc>
          <w:tcPr>
            <w:tcW w:w="0" w:type="auto"/>
            <w:hideMark/>
          </w:tcPr>
          <w:p w14:paraId="5B5B3AFB" w14:textId="77777777" w:rsidR="000D2EA6" w:rsidRPr="000D2EA6" w:rsidRDefault="000D2EA6" w:rsidP="000D2EA6">
            <w:pPr>
              <w:numPr>
                <w:ilvl w:val="0"/>
                <w:numId w:val="2"/>
              </w:numPr>
              <w:rPr>
                <w:b/>
                <w:bCs/>
              </w:rPr>
            </w:pPr>
            <w:r w:rsidRPr="000D2EA6">
              <w:rPr>
                <w:b/>
                <w:bCs/>
              </w:rPr>
              <w:t>desired_state</w:t>
            </w:r>
          </w:p>
        </w:tc>
        <w:tc>
          <w:tcPr>
            <w:tcW w:w="0" w:type="auto"/>
            <w:hideMark/>
          </w:tcPr>
          <w:p w14:paraId="55F28B45" w14:textId="77777777" w:rsidR="000D2EA6" w:rsidRPr="000D2EA6" w:rsidRDefault="000D2EA6" w:rsidP="000D2EA6">
            <w:pPr>
              <w:numPr>
                <w:ilvl w:val="0"/>
                <w:numId w:val="2"/>
              </w:numPr>
              <w:rPr>
                <w:b/>
                <w:bCs/>
              </w:rPr>
            </w:pPr>
            <w:r w:rsidRPr="000D2EA6">
              <w:rPr>
                <w:b/>
                <w:bCs/>
              </w:rPr>
              <w:t>desired_state_desc</w:t>
            </w:r>
          </w:p>
        </w:tc>
        <w:tc>
          <w:tcPr>
            <w:tcW w:w="0" w:type="auto"/>
            <w:hideMark/>
          </w:tcPr>
          <w:p w14:paraId="54D5B8F9" w14:textId="77777777" w:rsidR="000D2EA6" w:rsidRPr="000D2EA6" w:rsidRDefault="000D2EA6" w:rsidP="000D2EA6">
            <w:pPr>
              <w:numPr>
                <w:ilvl w:val="0"/>
                <w:numId w:val="2"/>
              </w:numPr>
              <w:rPr>
                <w:b/>
                <w:bCs/>
              </w:rPr>
            </w:pPr>
            <w:r w:rsidRPr="000D2EA6">
              <w:rPr>
                <w:b/>
                <w:bCs/>
              </w:rPr>
              <w:t>actual_state</w:t>
            </w:r>
          </w:p>
        </w:tc>
        <w:tc>
          <w:tcPr>
            <w:tcW w:w="0" w:type="auto"/>
            <w:hideMark/>
          </w:tcPr>
          <w:p w14:paraId="2625F94E" w14:textId="77777777" w:rsidR="000D2EA6" w:rsidRPr="000D2EA6" w:rsidRDefault="000D2EA6" w:rsidP="000D2EA6">
            <w:pPr>
              <w:numPr>
                <w:ilvl w:val="0"/>
                <w:numId w:val="2"/>
              </w:numPr>
              <w:rPr>
                <w:b/>
                <w:bCs/>
              </w:rPr>
            </w:pPr>
            <w:r w:rsidRPr="000D2EA6">
              <w:rPr>
                <w:b/>
                <w:bCs/>
              </w:rPr>
              <w:t>actual_state_desc</w:t>
            </w:r>
          </w:p>
        </w:tc>
        <w:tc>
          <w:tcPr>
            <w:tcW w:w="0" w:type="auto"/>
            <w:hideMark/>
          </w:tcPr>
          <w:p w14:paraId="19D9FECE" w14:textId="77777777" w:rsidR="000D2EA6" w:rsidRPr="000D2EA6" w:rsidRDefault="000D2EA6" w:rsidP="000D2EA6">
            <w:pPr>
              <w:numPr>
                <w:ilvl w:val="0"/>
                <w:numId w:val="2"/>
              </w:numPr>
              <w:rPr>
                <w:b/>
                <w:bCs/>
              </w:rPr>
            </w:pPr>
            <w:r w:rsidRPr="000D2EA6">
              <w:rPr>
                <w:b/>
                <w:bCs/>
              </w:rPr>
              <w:t>readonly_reason</w:t>
            </w:r>
          </w:p>
        </w:tc>
      </w:tr>
      <w:tr w:rsidR="000D2EA6" w:rsidRPr="000D2EA6" w14:paraId="12C29E7C" w14:textId="77777777" w:rsidTr="000D2EA6">
        <w:tc>
          <w:tcPr>
            <w:tcW w:w="0" w:type="auto"/>
            <w:hideMark/>
          </w:tcPr>
          <w:p w14:paraId="2F950EC1" w14:textId="77777777" w:rsidR="000D2EA6" w:rsidRPr="000D2EA6" w:rsidRDefault="000D2EA6" w:rsidP="000D2EA6">
            <w:pPr>
              <w:numPr>
                <w:ilvl w:val="0"/>
                <w:numId w:val="2"/>
              </w:numPr>
            </w:pPr>
            <w:r w:rsidRPr="000D2EA6">
              <w:t>4</w:t>
            </w:r>
          </w:p>
        </w:tc>
        <w:tc>
          <w:tcPr>
            <w:tcW w:w="0" w:type="auto"/>
            <w:hideMark/>
          </w:tcPr>
          <w:p w14:paraId="0463CE78" w14:textId="77777777" w:rsidR="000D2EA6" w:rsidRPr="000D2EA6" w:rsidRDefault="000D2EA6" w:rsidP="000D2EA6">
            <w:pPr>
              <w:numPr>
                <w:ilvl w:val="0"/>
                <w:numId w:val="2"/>
              </w:numPr>
            </w:pPr>
            <w:r w:rsidRPr="000D2EA6">
              <w:t>READ_CAPTURE_SECONDARY</w:t>
            </w:r>
          </w:p>
        </w:tc>
        <w:tc>
          <w:tcPr>
            <w:tcW w:w="0" w:type="auto"/>
            <w:hideMark/>
          </w:tcPr>
          <w:p w14:paraId="03F48898" w14:textId="77777777" w:rsidR="000D2EA6" w:rsidRPr="000D2EA6" w:rsidRDefault="000D2EA6" w:rsidP="000D2EA6">
            <w:pPr>
              <w:numPr>
                <w:ilvl w:val="0"/>
                <w:numId w:val="2"/>
              </w:numPr>
            </w:pPr>
            <w:r w:rsidRPr="000D2EA6">
              <w:t>4</w:t>
            </w:r>
          </w:p>
        </w:tc>
        <w:tc>
          <w:tcPr>
            <w:tcW w:w="0" w:type="auto"/>
            <w:hideMark/>
          </w:tcPr>
          <w:p w14:paraId="5728EF22" w14:textId="77777777" w:rsidR="000D2EA6" w:rsidRPr="000D2EA6" w:rsidRDefault="000D2EA6" w:rsidP="000D2EA6">
            <w:pPr>
              <w:numPr>
                <w:ilvl w:val="0"/>
                <w:numId w:val="2"/>
              </w:numPr>
            </w:pPr>
            <w:r w:rsidRPr="000D2EA6">
              <w:t>READ_CAPTURE_SECONDARY</w:t>
            </w:r>
          </w:p>
        </w:tc>
        <w:tc>
          <w:tcPr>
            <w:tcW w:w="0" w:type="auto"/>
            <w:hideMark/>
          </w:tcPr>
          <w:p w14:paraId="586AC2DE" w14:textId="77777777" w:rsidR="000D2EA6" w:rsidRPr="000D2EA6" w:rsidRDefault="000D2EA6" w:rsidP="000D2EA6">
            <w:pPr>
              <w:numPr>
                <w:ilvl w:val="0"/>
                <w:numId w:val="2"/>
              </w:numPr>
            </w:pPr>
            <w:r w:rsidRPr="000D2EA6">
              <w:t>8</w:t>
            </w:r>
          </w:p>
        </w:tc>
      </w:tr>
    </w:tbl>
    <w:p w14:paraId="4F46BABC" w14:textId="77777777" w:rsidR="000D2EA6" w:rsidRPr="000D2EA6" w:rsidRDefault="000D2EA6" w:rsidP="000D2EA6">
      <w:pPr>
        <w:numPr>
          <w:ilvl w:val="0"/>
          <w:numId w:val="2"/>
        </w:numPr>
      </w:pPr>
      <w:r w:rsidRPr="000D2EA6">
        <w:t>Once enabled, you can use </w:t>
      </w:r>
      <w:hyperlink r:id="rId18" w:history="1">
        <w:r w:rsidRPr="000D2EA6">
          <w:rPr>
            <w:rStyle w:val="Hyperlink"/>
          </w:rPr>
          <w:t>sys.query_store_replicas</w:t>
        </w:r>
      </w:hyperlink>
      <w:r w:rsidRPr="000D2EA6">
        <w:t> to verify the health of the Query Store on the secondary replica.</w:t>
      </w:r>
    </w:p>
    <w:p w14:paraId="6776A745" w14:textId="77777777" w:rsidR="000D2EA6" w:rsidRPr="000D2EA6" w:rsidRDefault="000D2EA6" w:rsidP="000D2EA6">
      <w:pPr>
        <w:numPr>
          <w:ilvl w:val="0"/>
          <w:numId w:val="2"/>
        </w:numPr>
      </w:pPr>
      <w:r w:rsidRPr="000D2EA6">
        <w:t>To disable Query Store for secondary replicas, connect to the database on the primary replica and run the following code:</w:t>
      </w:r>
    </w:p>
    <w:p w14:paraId="4DFBEE43" w14:textId="77777777" w:rsidR="000D2EA6" w:rsidRPr="000D2EA6" w:rsidRDefault="000D2EA6" w:rsidP="000D2EA6">
      <w:pPr>
        <w:numPr>
          <w:ilvl w:val="0"/>
          <w:numId w:val="2"/>
        </w:numPr>
      </w:pPr>
      <w:r w:rsidRPr="000D2EA6">
        <w:t>SQLCopy</w:t>
      </w:r>
    </w:p>
    <w:p w14:paraId="54F06544" w14:textId="77777777" w:rsidR="000D2EA6" w:rsidRPr="000D2EA6" w:rsidRDefault="000D2EA6" w:rsidP="000D2EA6">
      <w:pPr>
        <w:numPr>
          <w:ilvl w:val="0"/>
          <w:numId w:val="2"/>
        </w:numPr>
      </w:pPr>
      <w:r w:rsidRPr="000D2EA6">
        <w:t>ALTER DATABASE CURRENT</w:t>
      </w:r>
    </w:p>
    <w:p w14:paraId="2569D53F" w14:textId="77777777" w:rsidR="000D2EA6" w:rsidRPr="000D2EA6" w:rsidRDefault="000D2EA6" w:rsidP="000D2EA6">
      <w:pPr>
        <w:numPr>
          <w:ilvl w:val="0"/>
          <w:numId w:val="2"/>
        </w:numPr>
      </w:pPr>
      <w:r w:rsidRPr="000D2EA6">
        <w:t>FOR SECONDARY SET QUERY_STORE = OFF;</w:t>
      </w:r>
    </w:p>
    <w:p w14:paraId="682688CF" w14:textId="77777777" w:rsidR="000D2EA6" w:rsidRPr="000D2EA6" w:rsidRDefault="000D2EA6" w:rsidP="000D2EA6">
      <w:pPr>
        <w:numPr>
          <w:ilvl w:val="0"/>
          <w:numId w:val="2"/>
        </w:numPr>
      </w:pPr>
      <w:r w:rsidRPr="000D2EA6">
        <w:t>GO</w:t>
      </w:r>
    </w:p>
    <w:p w14:paraId="295B4C82" w14:textId="77777777" w:rsidR="000D2EA6" w:rsidRPr="000D2EA6" w:rsidRDefault="000D2EA6" w:rsidP="000D2EA6">
      <w:pPr>
        <w:numPr>
          <w:ilvl w:val="0"/>
          <w:numId w:val="2"/>
        </w:numPr>
        <w:rPr>
          <w:b/>
          <w:bCs/>
        </w:rPr>
      </w:pPr>
      <w:r w:rsidRPr="000D2EA6">
        <w:rPr>
          <w:b/>
          <w:bCs/>
        </w:rPr>
        <w:t>Replica sets</w:t>
      </w:r>
    </w:p>
    <w:p w14:paraId="2E92F2DE" w14:textId="77777777" w:rsidR="000D2EA6" w:rsidRPr="000D2EA6" w:rsidRDefault="000D2EA6" w:rsidP="000D2EA6">
      <w:pPr>
        <w:numPr>
          <w:ilvl w:val="0"/>
          <w:numId w:val="2"/>
        </w:numPr>
      </w:pPr>
      <w:r w:rsidRPr="000D2EA6">
        <w:t>Currently, when the Query Store for secondary replicas is enabled, it is enabled for all secondary replicas.</w:t>
      </w:r>
    </w:p>
    <w:p w14:paraId="567BE7BE" w14:textId="77777777" w:rsidR="000D2EA6" w:rsidRPr="000D2EA6" w:rsidRDefault="000D2EA6" w:rsidP="000D2EA6">
      <w:pPr>
        <w:numPr>
          <w:ilvl w:val="0"/>
          <w:numId w:val="2"/>
        </w:numPr>
      </w:pPr>
      <w:r w:rsidRPr="000D2EA6">
        <w:t>A </w:t>
      </w:r>
      <w:r w:rsidRPr="000D2EA6">
        <w:rPr>
          <w:b/>
          <w:bCs/>
        </w:rPr>
        <w:t>replica set</w:t>
      </w:r>
      <w:r w:rsidRPr="000D2EA6">
        <w:t> is defined as being all unnamed replicas that share a role (primary, secondary, geo secondary, geo primary), or as being an individual named replica. The data stored about queries can be analyzed as workloads on a replica set basis. Query Store for replicas provides the ability to monitor and adjust the performance of any unique, read-only workloads that might be executing against secondary replicas.</w:t>
      </w:r>
    </w:p>
    <w:p w14:paraId="6A764D98" w14:textId="77777777" w:rsidR="000D2EA6" w:rsidRPr="000D2EA6" w:rsidRDefault="000D2EA6" w:rsidP="000D2EA6">
      <w:pPr>
        <w:numPr>
          <w:ilvl w:val="0"/>
          <w:numId w:val="2"/>
        </w:numPr>
        <w:rPr>
          <w:b/>
          <w:bCs/>
        </w:rPr>
      </w:pPr>
      <w:r w:rsidRPr="000D2EA6">
        <w:rPr>
          <w:b/>
          <w:bCs/>
        </w:rPr>
        <w:t>Performance considerations for Query Store for secondary replicas</w:t>
      </w:r>
    </w:p>
    <w:p w14:paraId="578BBDCC" w14:textId="77777777" w:rsidR="000D2EA6" w:rsidRPr="000D2EA6" w:rsidRDefault="000D2EA6" w:rsidP="000D2EA6">
      <w:pPr>
        <w:numPr>
          <w:ilvl w:val="0"/>
          <w:numId w:val="2"/>
        </w:numPr>
      </w:pPr>
      <w:r w:rsidRPr="000D2EA6">
        <w:t>The channel used by secondary replicas to send query information back to the primary replica is the same channel used to keep secondary replicas up to date. Data is stored in the same tables on the primary replica that Query Store uses for queries executed on the primary replica, which causes the size of Query Store to grow.</w:t>
      </w:r>
    </w:p>
    <w:p w14:paraId="26FD256F" w14:textId="77777777" w:rsidR="000D2EA6" w:rsidRPr="000D2EA6" w:rsidRDefault="000D2EA6" w:rsidP="000D2EA6">
      <w:pPr>
        <w:numPr>
          <w:ilvl w:val="0"/>
          <w:numId w:val="2"/>
        </w:numPr>
      </w:pPr>
      <w:r w:rsidRPr="000D2EA6">
        <w:t>Thus, when a system is under significant load, you may notice some slowdown because of the channel being overloaded. Further, the same adhoc query capture issues that exist for Query Store today will continue for workloads run on secondary replicas. Learn more about how to </w:t>
      </w:r>
      <w:hyperlink r:id="rId19" w:anchor="keep-the-most-relevant-data-in-query-store" w:history="1">
        <w:r w:rsidRPr="000D2EA6">
          <w:rPr>
            <w:rStyle w:val="Hyperlink"/>
          </w:rPr>
          <w:t>Keep the most relevant data in Query Store</w:t>
        </w:r>
      </w:hyperlink>
      <w:r w:rsidRPr="000D2EA6">
        <w:t>.</w:t>
      </w:r>
    </w:p>
    <w:p w14:paraId="27747FED" w14:textId="77777777" w:rsidR="000D2EA6" w:rsidRPr="00AE3A05" w:rsidRDefault="000D2EA6" w:rsidP="00AE3A05">
      <w:pPr>
        <w:numPr>
          <w:ilvl w:val="0"/>
          <w:numId w:val="2"/>
        </w:numPr>
      </w:pPr>
    </w:p>
    <w:p w14:paraId="57DC04C5" w14:textId="77777777" w:rsidR="007429D6" w:rsidRDefault="007429D6"/>
    <w:sectPr w:rsidR="00742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226C8"/>
    <w:multiLevelType w:val="multilevel"/>
    <w:tmpl w:val="0744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D5462"/>
    <w:multiLevelType w:val="multilevel"/>
    <w:tmpl w:val="F952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F345F"/>
    <w:multiLevelType w:val="multilevel"/>
    <w:tmpl w:val="C92E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56710F"/>
    <w:multiLevelType w:val="multilevel"/>
    <w:tmpl w:val="2B167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338704">
    <w:abstractNumId w:val="1"/>
  </w:num>
  <w:num w:numId="2" w16cid:durableId="662045013">
    <w:abstractNumId w:val="0"/>
  </w:num>
  <w:num w:numId="3" w16cid:durableId="1419400644">
    <w:abstractNumId w:val="3"/>
  </w:num>
  <w:num w:numId="4" w16cid:durableId="1198591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EE"/>
    <w:rsid w:val="000D2EA6"/>
    <w:rsid w:val="003F3AEE"/>
    <w:rsid w:val="007429D6"/>
    <w:rsid w:val="009555B4"/>
    <w:rsid w:val="00A36176"/>
    <w:rsid w:val="00A36E36"/>
    <w:rsid w:val="00AE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ACDE"/>
  <w15:chartTrackingRefBased/>
  <w15:docId w15:val="{1F818A15-E010-476F-9F5F-8B1A4836F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A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3A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A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A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A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A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A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A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A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A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3A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A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A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A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AEE"/>
    <w:rPr>
      <w:rFonts w:eastAsiaTheme="majorEastAsia" w:cstheme="majorBidi"/>
      <w:color w:val="272727" w:themeColor="text1" w:themeTint="D8"/>
    </w:rPr>
  </w:style>
  <w:style w:type="paragraph" w:styleId="Title">
    <w:name w:val="Title"/>
    <w:basedOn w:val="Normal"/>
    <w:next w:val="Normal"/>
    <w:link w:val="TitleChar"/>
    <w:uiPriority w:val="10"/>
    <w:qFormat/>
    <w:rsid w:val="003F3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A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A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A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AEE"/>
    <w:pPr>
      <w:spacing w:before="160"/>
      <w:jc w:val="center"/>
    </w:pPr>
    <w:rPr>
      <w:i/>
      <w:iCs/>
      <w:color w:val="404040" w:themeColor="text1" w:themeTint="BF"/>
    </w:rPr>
  </w:style>
  <w:style w:type="character" w:customStyle="1" w:styleId="QuoteChar">
    <w:name w:val="Quote Char"/>
    <w:basedOn w:val="DefaultParagraphFont"/>
    <w:link w:val="Quote"/>
    <w:uiPriority w:val="29"/>
    <w:rsid w:val="003F3AEE"/>
    <w:rPr>
      <w:i/>
      <w:iCs/>
      <w:color w:val="404040" w:themeColor="text1" w:themeTint="BF"/>
    </w:rPr>
  </w:style>
  <w:style w:type="paragraph" w:styleId="ListParagraph">
    <w:name w:val="List Paragraph"/>
    <w:basedOn w:val="Normal"/>
    <w:uiPriority w:val="34"/>
    <w:qFormat/>
    <w:rsid w:val="003F3AEE"/>
    <w:pPr>
      <w:ind w:left="720"/>
      <w:contextualSpacing/>
    </w:pPr>
  </w:style>
  <w:style w:type="character" w:styleId="IntenseEmphasis">
    <w:name w:val="Intense Emphasis"/>
    <w:basedOn w:val="DefaultParagraphFont"/>
    <w:uiPriority w:val="21"/>
    <w:qFormat/>
    <w:rsid w:val="003F3AEE"/>
    <w:rPr>
      <w:i/>
      <w:iCs/>
      <w:color w:val="0F4761" w:themeColor="accent1" w:themeShade="BF"/>
    </w:rPr>
  </w:style>
  <w:style w:type="paragraph" w:styleId="IntenseQuote">
    <w:name w:val="Intense Quote"/>
    <w:basedOn w:val="Normal"/>
    <w:next w:val="Normal"/>
    <w:link w:val="IntenseQuoteChar"/>
    <w:uiPriority w:val="30"/>
    <w:qFormat/>
    <w:rsid w:val="003F3A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AEE"/>
    <w:rPr>
      <w:i/>
      <w:iCs/>
      <w:color w:val="0F4761" w:themeColor="accent1" w:themeShade="BF"/>
    </w:rPr>
  </w:style>
  <w:style w:type="character" w:styleId="IntenseReference">
    <w:name w:val="Intense Reference"/>
    <w:basedOn w:val="DefaultParagraphFont"/>
    <w:uiPriority w:val="32"/>
    <w:qFormat/>
    <w:rsid w:val="003F3AEE"/>
    <w:rPr>
      <w:b/>
      <w:bCs/>
      <w:smallCaps/>
      <w:color w:val="0F4761" w:themeColor="accent1" w:themeShade="BF"/>
      <w:spacing w:val="5"/>
    </w:rPr>
  </w:style>
  <w:style w:type="character" w:styleId="Hyperlink">
    <w:name w:val="Hyperlink"/>
    <w:basedOn w:val="DefaultParagraphFont"/>
    <w:uiPriority w:val="99"/>
    <w:unhideWhenUsed/>
    <w:rsid w:val="007429D6"/>
    <w:rPr>
      <w:color w:val="467886" w:themeColor="hyperlink"/>
      <w:u w:val="single"/>
    </w:rPr>
  </w:style>
  <w:style w:type="character" w:styleId="UnresolvedMention">
    <w:name w:val="Unresolved Mention"/>
    <w:basedOn w:val="DefaultParagraphFont"/>
    <w:uiPriority w:val="99"/>
    <w:semiHidden/>
    <w:unhideWhenUsed/>
    <w:rsid w:val="007429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244864">
      <w:bodyDiv w:val="1"/>
      <w:marLeft w:val="0"/>
      <w:marRight w:val="0"/>
      <w:marTop w:val="0"/>
      <w:marBottom w:val="0"/>
      <w:divBdr>
        <w:top w:val="none" w:sz="0" w:space="0" w:color="auto"/>
        <w:left w:val="none" w:sz="0" w:space="0" w:color="auto"/>
        <w:bottom w:val="none" w:sz="0" w:space="0" w:color="auto"/>
        <w:right w:val="none" w:sz="0" w:space="0" w:color="auto"/>
      </w:divBdr>
      <w:divsChild>
        <w:div w:id="1310016213">
          <w:marLeft w:val="0"/>
          <w:marRight w:val="0"/>
          <w:marTop w:val="0"/>
          <w:marBottom w:val="0"/>
          <w:divBdr>
            <w:top w:val="none" w:sz="0" w:space="0" w:color="auto"/>
            <w:left w:val="none" w:sz="0" w:space="0" w:color="auto"/>
            <w:bottom w:val="none" w:sz="0" w:space="0" w:color="auto"/>
            <w:right w:val="none" w:sz="0" w:space="0" w:color="auto"/>
          </w:divBdr>
        </w:div>
        <w:div w:id="2120488973">
          <w:marLeft w:val="0"/>
          <w:marRight w:val="0"/>
          <w:marTop w:val="0"/>
          <w:marBottom w:val="0"/>
          <w:divBdr>
            <w:top w:val="none" w:sz="0" w:space="0" w:color="auto"/>
            <w:left w:val="none" w:sz="0" w:space="0" w:color="auto"/>
            <w:bottom w:val="none" w:sz="0" w:space="0" w:color="auto"/>
            <w:right w:val="none" w:sz="0" w:space="0" w:color="auto"/>
          </w:divBdr>
        </w:div>
        <w:div w:id="731541057">
          <w:marLeft w:val="0"/>
          <w:marRight w:val="0"/>
          <w:marTop w:val="240"/>
          <w:marBottom w:val="0"/>
          <w:divBdr>
            <w:top w:val="none" w:sz="0" w:space="0" w:color="auto"/>
            <w:left w:val="none" w:sz="0" w:space="0" w:color="auto"/>
            <w:bottom w:val="none" w:sz="0" w:space="0" w:color="auto"/>
            <w:right w:val="none" w:sz="0" w:space="0" w:color="auto"/>
          </w:divBdr>
        </w:div>
        <w:div w:id="1532186589">
          <w:marLeft w:val="0"/>
          <w:marRight w:val="0"/>
          <w:marTop w:val="240"/>
          <w:marBottom w:val="0"/>
          <w:divBdr>
            <w:top w:val="none" w:sz="0" w:space="0" w:color="auto"/>
            <w:left w:val="none" w:sz="0" w:space="0" w:color="auto"/>
            <w:bottom w:val="none" w:sz="0" w:space="0" w:color="auto"/>
            <w:right w:val="none" w:sz="0" w:space="0" w:color="auto"/>
          </w:divBdr>
        </w:div>
        <w:div w:id="1816330933">
          <w:marLeft w:val="0"/>
          <w:marRight w:val="0"/>
          <w:marTop w:val="240"/>
          <w:marBottom w:val="0"/>
          <w:divBdr>
            <w:top w:val="none" w:sz="0" w:space="0" w:color="auto"/>
            <w:left w:val="none" w:sz="0" w:space="0" w:color="auto"/>
            <w:bottom w:val="none" w:sz="0" w:space="0" w:color="auto"/>
            <w:right w:val="none" w:sz="0" w:space="0" w:color="auto"/>
          </w:divBdr>
        </w:div>
        <w:div w:id="1819876958">
          <w:marLeft w:val="0"/>
          <w:marRight w:val="0"/>
          <w:marTop w:val="240"/>
          <w:marBottom w:val="0"/>
          <w:divBdr>
            <w:top w:val="none" w:sz="0" w:space="0" w:color="auto"/>
            <w:left w:val="none" w:sz="0" w:space="0" w:color="auto"/>
            <w:bottom w:val="none" w:sz="0" w:space="0" w:color="auto"/>
            <w:right w:val="none" w:sz="0" w:space="0" w:color="auto"/>
          </w:divBdr>
        </w:div>
        <w:div w:id="376392801">
          <w:marLeft w:val="0"/>
          <w:marRight w:val="0"/>
          <w:marTop w:val="0"/>
          <w:marBottom w:val="0"/>
          <w:divBdr>
            <w:top w:val="none" w:sz="0" w:space="0" w:color="auto"/>
            <w:left w:val="none" w:sz="0" w:space="0" w:color="auto"/>
            <w:bottom w:val="none" w:sz="0" w:space="0" w:color="auto"/>
            <w:right w:val="none" w:sz="0" w:space="0" w:color="auto"/>
          </w:divBdr>
        </w:div>
        <w:div w:id="974791712">
          <w:marLeft w:val="0"/>
          <w:marRight w:val="0"/>
          <w:marTop w:val="0"/>
          <w:marBottom w:val="0"/>
          <w:divBdr>
            <w:top w:val="none" w:sz="0" w:space="0" w:color="auto"/>
            <w:left w:val="none" w:sz="0" w:space="0" w:color="auto"/>
            <w:bottom w:val="none" w:sz="0" w:space="0" w:color="auto"/>
            <w:right w:val="none" w:sz="0" w:space="0" w:color="auto"/>
          </w:divBdr>
        </w:div>
        <w:div w:id="56709262">
          <w:marLeft w:val="0"/>
          <w:marRight w:val="0"/>
          <w:marTop w:val="240"/>
          <w:marBottom w:val="0"/>
          <w:divBdr>
            <w:top w:val="none" w:sz="0" w:space="0" w:color="auto"/>
            <w:left w:val="none" w:sz="0" w:space="0" w:color="auto"/>
            <w:bottom w:val="none" w:sz="0" w:space="0" w:color="auto"/>
            <w:right w:val="none" w:sz="0" w:space="0" w:color="auto"/>
          </w:divBdr>
        </w:div>
        <w:div w:id="106244293">
          <w:marLeft w:val="0"/>
          <w:marRight w:val="0"/>
          <w:marTop w:val="0"/>
          <w:marBottom w:val="0"/>
          <w:divBdr>
            <w:top w:val="none" w:sz="0" w:space="0" w:color="auto"/>
            <w:left w:val="none" w:sz="0" w:space="0" w:color="auto"/>
            <w:bottom w:val="none" w:sz="0" w:space="0" w:color="auto"/>
            <w:right w:val="none" w:sz="0" w:space="0" w:color="auto"/>
          </w:divBdr>
        </w:div>
        <w:div w:id="489643549">
          <w:marLeft w:val="0"/>
          <w:marRight w:val="0"/>
          <w:marTop w:val="0"/>
          <w:marBottom w:val="0"/>
          <w:divBdr>
            <w:top w:val="none" w:sz="0" w:space="0" w:color="auto"/>
            <w:left w:val="none" w:sz="0" w:space="0" w:color="auto"/>
            <w:bottom w:val="none" w:sz="0" w:space="0" w:color="auto"/>
            <w:right w:val="none" w:sz="0" w:space="0" w:color="auto"/>
          </w:divBdr>
        </w:div>
      </w:divsChild>
    </w:div>
    <w:div w:id="742337221">
      <w:bodyDiv w:val="1"/>
      <w:marLeft w:val="0"/>
      <w:marRight w:val="0"/>
      <w:marTop w:val="0"/>
      <w:marBottom w:val="0"/>
      <w:divBdr>
        <w:top w:val="none" w:sz="0" w:space="0" w:color="auto"/>
        <w:left w:val="none" w:sz="0" w:space="0" w:color="auto"/>
        <w:bottom w:val="none" w:sz="0" w:space="0" w:color="auto"/>
        <w:right w:val="none" w:sz="0" w:space="0" w:color="auto"/>
      </w:divBdr>
      <w:divsChild>
        <w:div w:id="2116634260">
          <w:marLeft w:val="0"/>
          <w:marRight w:val="0"/>
          <w:marTop w:val="0"/>
          <w:marBottom w:val="0"/>
          <w:divBdr>
            <w:top w:val="none" w:sz="0" w:space="0" w:color="auto"/>
            <w:left w:val="none" w:sz="0" w:space="0" w:color="auto"/>
            <w:bottom w:val="none" w:sz="0" w:space="0" w:color="auto"/>
            <w:right w:val="none" w:sz="0" w:space="0" w:color="auto"/>
          </w:divBdr>
        </w:div>
      </w:divsChild>
    </w:div>
    <w:div w:id="854999807">
      <w:bodyDiv w:val="1"/>
      <w:marLeft w:val="0"/>
      <w:marRight w:val="0"/>
      <w:marTop w:val="0"/>
      <w:marBottom w:val="0"/>
      <w:divBdr>
        <w:top w:val="none" w:sz="0" w:space="0" w:color="auto"/>
        <w:left w:val="none" w:sz="0" w:space="0" w:color="auto"/>
        <w:bottom w:val="none" w:sz="0" w:space="0" w:color="auto"/>
        <w:right w:val="none" w:sz="0" w:space="0" w:color="auto"/>
      </w:divBdr>
    </w:div>
    <w:div w:id="1174805146">
      <w:bodyDiv w:val="1"/>
      <w:marLeft w:val="0"/>
      <w:marRight w:val="0"/>
      <w:marTop w:val="0"/>
      <w:marBottom w:val="0"/>
      <w:divBdr>
        <w:top w:val="none" w:sz="0" w:space="0" w:color="auto"/>
        <w:left w:val="none" w:sz="0" w:space="0" w:color="auto"/>
        <w:bottom w:val="none" w:sz="0" w:space="0" w:color="auto"/>
        <w:right w:val="none" w:sz="0" w:space="0" w:color="auto"/>
      </w:divBdr>
      <w:divsChild>
        <w:div w:id="1449425449">
          <w:marLeft w:val="0"/>
          <w:marRight w:val="0"/>
          <w:marTop w:val="0"/>
          <w:marBottom w:val="0"/>
          <w:divBdr>
            <w:top w:val="none" w:sz="0" w:space="0" w:color="auto"/>
            <w:left w:val="none" w:sz="0" w:space="0" w:color="auto"/>
            <w:bottom w:val="none" w:sz="0" w:space="0" w:color="auto"/>
            <w:right w:val="none" w:sz="0" w:space="0" w:color="auto"/>
          </w:divBdr>
        </w:div>
      </w:divsChild>
    </w:div>
    <w:div w:id="1408502090">
      <w:bodyDiv w:val="1"/>
      <w:marLeft w:val="0"/>
      <w:marRight w:val="0"/>
      <w:marTop w:val="0"/>
      <w:marBottom w:val="0"/>
      <w:divBdr>
        <w:top w:val="none" w:sz="0" w:space="0" w:color="auto"/>
        <w:left w:val="none" w:sz="0" w:space="0" w:color="auto"/>
        <w:bottom w:val="none" w:sz="0" w:space="0" w:color="auto"/>
        <w:right w:val="none" w:sz="0" w:space="0" w:color="auto"/>
      </w:divBdr>
      <w:divsChild>
        <w:div w:id="1234505478">
          <w:marLeft w:val="0"/>
          <w:marRight w:val="0"/>
          <w:marTop w:val="0"/>
          <w:marBottom w:val="0"/>
          <w:divBdr>
            <w:top w:val="none" w:sz="0" w:space="0" w:color="auto"/>
            <w:left w:val="none" w:sz="0" w:space="0" w:color="auto"/>
            <w:bottom w:val="none" w:sz="0" w:space="0" w:color="auto"/>
            <w:right w:val="none" w:sz="0" w:space="0" w:color="auto"/>
          </w:divBdr>
        </w:div>
        <w:div w:id="1660038343">
          <w:marLeft w:val="0"/>
          <w:marRight w:val="0"/>
          <w:marTop w:val="0"/>
          <w:marBottom w:val="0"/>
          <w:divBdr>
            <w:top w:val="none" w:sz="0" w:space="0" w:color="auto"/>
            <w:left w:val="none" w:sz="0" w:space="0" w:color="auto"/>
            <w:bottom w:val="none" w:sz="0" w:space="0" w:color="auto"/>
            <w:right w:val="none" w:sz="0" w:space="0" w:color="auto"/>
          </w:divBdr>
        </w:div>
        <w:div w:id="1404445781">
          <w:marLeft w:val="0"/>
          <w:marRight w:val="0"/>
          <w:marTop w:val="240"/>
          <w:marBottom w:val="0"/>
          <w:divBdr>
            <w:top w:val="none" w:sz="0" w:space="0" w:color="auto"/>
            <w:left w:val="none" w:sz="0" w:space="0" w:color="auto"/>
            <w:bottom w:val="none" w:sz="0" w:space="0" w:color="auto"/>
            <w:right w:val="none" w:sz="0" w:space="0" w:color="auto"/>
          </w:divBdr>
        </w:div>
        <w:div w:id="1992708854">
          <w:marLeft w:val="0"/>
          <w:marRight w:val="0"/>
          <w:marTop w:val="240"/>
          <w:marBottom w:val="0"/>
          <w:divBdr>
            <w:top w:val="none" w:sz="0" w:space="0" w:color="auto"/>
            <w:left w:val="none" w:sz="0" w:space="0" w:color="auto"/>
            <w:bottom w:val="none" w:sz="0" w:space="0" w:color="auto"/>
            <w:right w:val="none" w:sz="0" w:space="0" w:color="auto"/>
          </w:divBdr>
        </w:div>
        <w:div w:id="1311321766">
          <w:marLeft w:val="0"/>
          <w:marRight w:val="0"/>
          <w:marTop w:val="240"/>
          <w:marBottom w:val="0"/>
          <w:divBdr>
            <w:top w:val="none" w:sz="0" w:space="0" w:color="auto"/>
            <w:left w:val="none" w:sz="0" w:space="0" w:color="auto"/>
            <w:bottom w:val="none" w:sz="0" w:space="0" w:color="auto"/>
            <w:right w:val="none" w:sz="0" w:space="0" w:color="auto"/>
          </w:divBdr>
        </w:div>
        <w:div w:id="769816212">
          <w:marLeft w:val="0"/>
          <w:marRight w:val="0"/>
          <w:marTop w:val="240"/>
          <w:marBottom w:val="0"/>
          <w:divBdr>
            <w:top w:val="none" w:sz="0" w:space="0" w:color="auto"/>
            <w:left w:val="none" w:sz="0" w:space="0" w:color="auto"/>
            <w:bottom w:val="none" w:sz="0" w:space="0" w:color="auto"/>
            <w:right w:val="none" w:sz="0" w:space="0" w:color="auto"/>
          </w:divBdr>
        </w:div>
        <w:div w:id="1219977636">
          <w:marLeft w:val="0"/>
          <w:marRight w:val="0"/>
          <w:marTop w:val="0"/>
          <w:marBottom w:val="0"/>
          <w:divBdr>
            <w:top w:val="none" w:sz="0" w:space="0" w:color="auto"/>
            <w:left w:val="none" w:sz="0" w:space="0" w:color="auto"/>
            <w:bottom w:val="none" w:sz="0" w:space="0" w:color="auto"/>
            <w:right w:val="none" w:sz="0" w:space="0" w:color="auto"/>
          </w:divBdr>
        </w:div>
        <w:div w:id="1605765648">
          <w:marLeft w:val="0"/>
          <w:marRight w:val="0"/>
          <w:marTop w:val="0"/>
          <w:marBottom w:val="0"/>
          <w:divBdr>
            <w:top w:val="none" w:sz="0" w:space="0" w:color="auto"/>
            <w:left w:val="none" w:sz="0" w:space="0" w:color="auto"/>
            <w:bottom w:val="none" w:sz="0" w:space="0" w:color="auto"/>
            <w:right w:val="none" w:sz="0" w:space="0" w:color="auto"/>
          </w:divBdr>
        </w:div>
        <w:div w:id="349338951">
          <w:marLeft w:val="0"/>
          <w:marRight w:val="0"/>
          <w:marTop w:val="240"/>
          <w:marBottom w:val="0"/>
          <w:divBdr>
            <w:top w:val="none" w:sz="0" w:space="0" w:color="auto"/>
            <w:left w:val="none" w:sz="0" w:space="0" w:color="auto"/>
            <w:bottom w:val="none" w:sz="0" w:space="0" w:color="auto"/>
            <w:right w:val="none" w:sz="0" w:space="0" w:color="auto"/>
          </w:divBdr>
        </w:div>
        <w:div w:id="1060444251">
          <w:marLeft w:val="0"/>
          <w:marRight w:val="0"/>
          <w:marTop w:val="0"/>
          <w:marBottom w:val="0"/>
          <w:divBdr>
            <w:top w:val="none" w:sz="0" w:space="0" w:color="auto"/>
            <w:left w:val="none" w:sz="0" w:space="0" w:color="auto"/>
            <w:bottom w:val="none" w:sz="0" w:space="0" w:color="auto"/>
            <w:right w:val="none" w:sz="0" w:space="0" w:color="auto"/>
          </w:divBdr>
        </w:div>
        <w:div w:id="2038306626">
          <w:marLeft w:val="0"/>
          <w:marRight w:val="0"/>
          <w:marTop w:val="0"/>
          <w:marBottom w:val="0"/>
          <w:divBdr>
            <w:top w:val="none" w:sz="0" w:space="0" w:color="auto"/>
            <w:left w:val="none" w:sz="0" w:space="0" w:color="auto"/>
            <w:bottom w:val="none" w:sz="0" w:space="0" w:color="auto"/>
            <w:right w:val="none" w:sz="0" w:space="0" w:color="auto"/>
          </w:divBdr>
        </w:div>
      </w:divsChild>
    </w:div>
    <w:div w:id="1554266143">
      <w:bodyDiv w:val="1"/>
      <w:marLeft w:val="0"/>
      <w:marRight w:val="0"/>
      <w:marTop w:val="0"/>
      <w:marBottom w:val="0"/>
      <w:divBdr>
        <w:top w:val="none" w:sz="0" w:space="0" w:color="auto"/>
        <w:left w:val="none" w:sz="0" w:space="0" w:color="auto"/>
        <w:bottom w:val="none" w:sz="0" w:space="0" w:color="auto"/>
        <w:right w:val="none" w:sz="0" w:space="0" w:color="auto"/>
      </w:divBdr>
    </w:div>
    <w:div w:id="1707677030">
      <w:bodyDiv w:val="1"/>
      <w:marLeft w:val="0"/>
      <w:marRight w:val="0"/>
      <w:marTop w:val="0"/>
      <w:marBottom w:val="0"/>
      <w:divBdr>
        <w:top w:val="none" w:sz="0" w:space="0" w:color="auto"/>
        <w:left w:val="none" w:sz="0" w:space="0" w:color="auto"/>
        <w:bottom w:val="none" w:sz="0" w:space="0" w:color="auto"/>
        <w:right w:val="none" w:sz="0" w:space="0" w:color="auto"/>
      </w:divBdr>
    </w:div>
    <w:div w:id="214670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relational-databases/system-catalog-views/sys-database-query-store-options-transact-sql?view=sql-server-ver16" TargetMode="External"/><Relationship Id="rId13" Type="http://schemas.openxmlformats.org/officeDocument/2006/relationships/hyperlink" Target="https://learn.microsoft.com/en-us/sql/t-sql/database-console-commands/dbcc-traceon-trace-flags-transact-sql?view=sql-server-ver16" TargetMode="External"/><Relationship Id="rId18" Type="http://schemas.openxmlformats.org/officeDocument/2006/relationships/hyperlink" Target="https://learn.microsoft.com/en-us/sql/relational-databases/system-catalog-views/sys-query-store-replicas?view=sql-server-ver1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earn.microsoft.com/en-us/sql/t-sql/statements/alter-database-transact-sql-set-options?view=sql-server-ver16" TargetMode="External"/><Relationship Id="rId12" Type="http://schemas.openxmlformats.org/officeDocument/2006/relationships/hyperlink" Target="https://learn.microsoft.com/en-us/sql/sql-server/sql-server-2022-release-notes?view=sql-server-ver16" TargetMode="External"/><Relationship Id="rId17" Type="http://schemas.openxmlformats.org/officeDocument/2006/relationships/hyperlink" Target="https://learn.microsoft.com/en-us/sql/relational-databases/system-catalog-views/sys-database-query-store-options-transact-sql?view=sql-server-ver16" TargetMode="External"/><Relationship Id="rId2" Type="http://schemas.openxmlformats.org/officeDocument/2006/relationships/styles" Target="styles.xml"/><Relationship Id="rId16" Type="http://schemas.openxmlformats.org/officeDocument/2006/relationships/hyperlink" Target="https://learn.microsoft.com/en-us/sql/t-sql/statements/alter-database-transact-sql-set-options?view=sql-server-ver1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n-us/sql/relational-databases/performance/query-store-for-secondary-replicas?view=sql-server-ver16" TargetMode="External"/><Relationship Id="rId11" Type="http://schemas.openxmlformats.org/officeDocument/2006/relationships/hyperlink" Target="https://learn.microsoft.com/en-us/sql/relational-databases/system-stored-procedures/sp-query-store-force-plan-transact-sql?view=sql-server-ver16" TargetMode="External"/><Relationship Id="rId5" Type="http://schemas.openxmlformats.org/officeDocument/2006/relationships/hyperlink" Target="https://learn.microsoft.com/en-us/sql/relational-databases/performance/query-store-for-secondary-replicas?view=sql-server-ver16" TargetMode="External"/><Relationship Id="rId15" Type="http://schemas.openxmlformats.org/officeDocument/2006/relationships/hyperlink" Target="https://learn.microsoft.com/en-us/sql/database-engine/availability-groups/windows/overview-of-always-on-availability-groups-sql-server?view=sql-server-ver16" TargetMode="External"/><Relationship Id="rId10" Type="http://schemas.openxmlformats.org/officeDocument/2006/relationships/hyperlink" Target="https://learn.microsoft.com/en-us/sql/relational-databases/system-catalog-views/sys-query-store-plan-forcing-locations-transact-sql?view=sql-server-ver16" TargetMode="External"/><Relationship Id="rId19" Type="http://schemas.openxmlformats.org/officeDocument/2006/relationships/hyperlink" Target="https://learn.microsoft.com/en-us/sql/relational-databases/performance/best-practice-with-the-query-store?view=sql-server-ver16" TargetMode="External"/><Relationship Id="rId4" Type="http://schemas.openxmlformats.org/officeDocument/2006/relationships/webSettings" Target="webSettings.xml"/><Relationship Id="rId9" Type="http://schemas.openxmlformats.org/officeDocument/2006/relationships/hyperlink" Target="https://learn.microsoft.com/en-us/sql/relational-databases/system-catalog-views/sys-query-store-replicas?view=sql-server-ver16" TargetMode="External"/><Relationship Id="rId14" Type="http://schemas.openxmlformats.org/officeDocument/2006/relationships/hyperlink" Target="https://learn.microsoft.com/en-us/sql/relational-databases/sql-server-configuration-manager?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1129</Words>
  <Characters>6441</Characters>
  <Application>Microsoft Office Word</Application>
  <DocSecurity>0</DocSecurity>
  <Lines>53</Lines>
  <Paragraphs>15</Paragraphs>
  <ScaleCrop>false</ScaleCrop>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6</cp:revision>
  <dcterms:created xsi:type="dcterms:W3CDTF">2025-01-25T23:46:00Z</dcterms:created>
  <dcterms:modified xsi:type="dcterms:W3CDTF">2025-01-25T23:50:00Z</dcterms:modified>
</cp:coreProperties>
</file>