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45DB3" w14:textId="77777777" w:rsidR="00DC3894" w:rsidRPr="00DC3894" w:rsidRDefault="00DC3894" w:rsidP="00DC3894">
      <w:r w:rsidRPr="00DC3894">
        <w:rPr>
          <w:b/>
          <w:bCs/>
        </w:rPr>
        <w:t>Object Change Velocity (OCV)</w:t>
      </w:r>
      <w:r w:rsidRPr="00DC3894">
        <w:t xml:space="preserve"> refers to the </w:t>
      </w:r>
      <w:r w:rsidRPr="00DC3894">
        <w:rPr>
          <w:b/>
          <w:bCs/>
        </w:rPr>
        <w:t>rate at which changes</w:t>
      </w:r>
      <w:r w:rsidRPr="00DC3894">
        <w:t xml:space="preserve"> are made to objects within a database, such as rows in a table or specific records. It’s a key metric that helps assess the </w:t>
      </w:r>
      <w:r w:rsidRPr="00DC3894">
        <w:rPr>
          <w:b/>
          <w:bCs/>
        </w:rPr>
        <w:t>frequency</w:t>
      </w:r>
      <w:r w:rsidRPr="00DC3894">
        <w:t xml:space="preserve"> and </w:t>
      </w:r>
      <w:r w:rsidRPr="00DC3894">
        <w:rPr>
          <w:b/>
          <w:bCs/>
        </w:rPr>
        <w:t>magnitude</w:t>
      </w:r>
      <w:r w:rsidRPr="00DC3894">
        <w:t xml:space="preserve"> of changes in the system. High OCV indicates frequent updates, inserts, and deletes, while low OCV signifies relatively stable data with fewer changes.</w:t>
      </w:r>
    </w:p>
    <w:p w14:paraId="4DEB7B56" w14:textId="77777777" w:rsidR="00DC3894" w:rsidRPr="00DC3894" w:rsidRDefault="00DC3894" w:rsidP="00DC3894">
      <w:r w:rsidRPr="00DC3894">
        <w:t xml:space="preserve">Understanding OCV is crucial in scenarios like </w:t>
      </w:r>
      <w:r w:rsidRPr="00DC3894">
        <w:rPr>
          <w:b/>
          <w:bCs/>
        </w:rPr>
        <w:t>transactional replication</w:t>
      </w:r>
      <w:r w:rsidRPr="00DC3894">
        <w:t xml:space="preserve">, </w:t>
      </w:r>
      <w:r w:rsidRPr="00DC3894">
        <w:rPr>
          <w:b/>
          <w:bCs/>
        </w:rPr>
        <w:t>data warehousing</w:t>
      </w:r>
      <w:r w:rsidRPr="00DC3894">
        <w:t xml:space="preserve">, and </w:t>
      </w:r>
      <w:r w:rsidRPr="00DC3894">
        <w:rPr>
          <w:b/>
          <w:bCs/>
        </w:rPr>
        <w:t>real-time data processing</w:t>
      </w:r>
      <w:r w:rsidRPr="00DC3894">
        <w:t>, as it impacts performance, resource consumption, and the overall behavior of the system.</w:t>
      </w:r>
    </w:p>
    <w:p w14:paraId="5DE76DE1" w14:textId="77777777" w:rsidR="00DC3894" w:rsidRPr="00DC3894" w:rsidRDefault="00DC3894" w:rsidP="00DC3894">
      <w:pPr>
        <w:rPr>
          <w:b/>
          <w:bCs/>
        </w:rPr>
      </w:pPr>
      <w:r w:rsidRPr="00DC3894">
        <w:rPr>
          <w:b/>
          <w:bCs/>
        </w:rPr>
        <w:t>Key Aspects of Object Change Velocity:</w:t>
      </w:r>
    </w:p>
    <w:p w14:paraId="126F3033" w14:textId="77777777" w:rsidR="00DC3894" w:rsidRPr="00DC3894" w:rsidRDefault="00DC3894" w:rsidP="00DC3894">
      <w:pPr>
        <w:numPr>
          <w:ilvl w:val="0"/>
          <w:numId w:val="1"/>
        </w:numPr>
      </w:pPr>
      <w:r w:rsidRPr="00DC3894">
        <w:rPr>
          <w:b/>
          <w:bCs/>
        </w:rPr>
        <w:t>Change Types</w:t>
      </w:r>
      <w:r w:rsidRPr="00DC3894">
        <w:t>:</w:t>
      </w:r>
    </w:p>
    <w:p w14:paraId="4E98D7BD" w14:textId="77777777" w:rsidR="00DC3894" w:rsidRPr="00DC3894" w:rsidRDefault="00DC3894" w:rsidP="00DC3894">
      <w:pPr>
        <w:numPr>
          <w:ilvl w:val="1"/>
          <w:numId w:val="1"/>
        </w:numPr>
      </w:pPr>
      <w:r w:rsidRPr="00DC3894">
        <w:rPr>
          <w:b/>
          <w:bCs/>
        </w:rPr>
        <w:t>Insert</w:t>
      </w:r>
      <w:r w:rsidRPr="00DC3894">
        <w:t>: New rows are added to the table.</w:t>
      </w:r>
    </w:p>
    <w:p w14:paraId="589944E0" w14:textId="77777777" w:rsidR="00DC3894" w:rsidRPr="00DC3894" w:rsidRDefault="00DC3894" w:rsidP="00DC3894">
      <w:pPr>
        <w:numPr>
          <w:ilvl w:val="1"/>
          <w:numId w:val="1"/>
        </w:numPr>
      </w:pPr>
      <w:r w:rsidRPr="00DC3894">
        <w:rPr>
          <w:b/>
          <w:bCs/>
        </w:rPr>
        <w:t>Update</w:t>
      </w:r>
      <w:r w:rsidRPr="00DC3894">
        <w:t>: Existing rows are modified.</w:t>
      </w:r>
    </w:p>
    <w:p w14:paraId="0AF42FB4" w14:textId="77777777" w:rsidR="00DC3894" w:rsidRPr="00DC3894" w:rsidRDefault="00DC3894" w:rsidP="00DC3894">
      <w:pPr>
        <w:numPr>
          <w:ilvl w:val="1"/>
          <w:numId w:val="1"/>
        </w:numPr>
      </w:pPr>
      <w:r w:rsidRPr="00DC3894">
        <w:rPr>
          <w:b/>
          <w:bCs/>
        </w:rPr>
        <w:t>Delete</w:t>
      </w:r>
      <w:r w:rsidRPr="00DC3894">
        <w:t>: Rows are removed from the table.</w:t>
      </w:r>
    </w:p>
    <w:p w14:paraId="54D6B633" w14:textId="77777777" w:rsidR="00DC3894" w:rsidRPr="00DC3894" w:rsidRDefault="00DC3894" w:rsidP="00DC3894">
      <w:pPr>
        <w:numPr>
          <w:ilvl w:val="1"/>
          <w:numId w:val="1"/>
        </w:numPr>
      </w:pPr>
      <w:r w:rsidRPr="00DC3894">
        <w:rPr>
          <w:b/>
          <w:bCs/>
        </w:rPr>
        <w:t>Combination of Changes</w:t>
      </w:r>
      <w:r w:rsidRPr="00DC3894">
        <w:t>: A mix of inserts, updates, and deletes can contribute to a higher OCV.</w:t>
      </w:r>
    </w:p>
    <w:p w14:paraId="4C18AA01" w14:textId="77777777" w:rsidR="00DC3894" w:rsidRPr="00DC3894" w:rsidRDefault="00DC3894" w:rsidP="00DC3894">
      <w:pPr>
        <w:numPr>
          <w:ilvl w:val="0"/>
          <w:numId w:val="1"/>
        </w:numPr>
      </w:pPr>
      <w:r w:rsidRPr="00DC3894">
        <w:rPr>
          <w:b/>
          <w:bCs/>
        </w:rPr>
        <w:t>Impact of High OCV</w:t>
      </w:r>
      <w:r w:rsidRPr="00DC3894">
        <w:t>:</w:t>
      </w:r>
    </w:p>
    <w:p w14:paraId="693EBC48" w14:textId="77777777" w:rsidR="00DC3894" w:rsidRPr="00DC3894" w:rsidRDefault="00DC3894" w:rsidP="00DC3894">
      <w:pPr>
        <w:numPr>
          <w:ilvl w:val="1"/>
          <w:numId w:val="1"/>
        </w:numPr>
      </w:pPr>
      <w:r w:rsidRPr="00DC3894">
        <w:rPr>
          <w:b/>
          <w:bCs/>
        </w:rPr>
        <w:t>Replication</w:t>
      </w:r>
      <w:r w:rsidRPr="00DC3894">
        <w:t xml:space="preserve">: High OCV puts more strain on replication agents (e.g., </w:t>
      </w:r>
      <w:r w:rsidRPr="00DC3894">
        <w:rPr>
          <w:b/>
          <w:bCs/>
        </w:rPr>
        <w:t>Log Reader Agent</w:t>
      </w:r>
      <w:r w:rsidRPr="00DC3894">
        <w:t xml:space="preserve"> and </w:t>
      </w:r>
      <w:r w:rsidRPr="00DC3894">
        <w:rPr>
          <w:b/>
          <w:bCs/>
        </w:rPr>
        <w:t>Distribution Agent</w:t>
      </w:r>
      <w:r w:rsidRPr="00DC3894">
        <w:t xml:space="preserve"> in SQL Server transactional replication), as they need to constantly track and apply changes.</w:t>
      </w:r>
    </w:p>
    <w:p w14:paraId="26CA00C8" w14:textId="77777777" w:rsidR="00DC3894" w:rsidRPr="00DC3894" w:rsidRDefault="00DC3894" w:rsidP="00DC3894">
      <w:pPr>
        <w:numPr>
          <w:ilvl w:val="1"/>
          <w:numId w:val="1"/>
        </w:numPr>
      </w:pPr>
      <w:r w:rsidRPr="00DC3894">
        <w:rPr>
          <w:b/>
          <w:bCs/>
        </w:rPr>
        <w:t>Performance</w:t>
      </w:r>
      <w:r w:rsidRPr="00DC3894">
        <w:t xml:space="preserve">: High OCV can affect the database's performance due to the increased load on </w:t>
      </w:r>
      <w:r w:rsidRPr="00DC3894">
        <w:rPr>
          <w:b/>
          <w:bCs/>
        </w:rPr>
        <w:t>CPU</w:t>
      </w:r>
      <w:r w:rsidRPr="00DC3894">
        <w:t xml:space="preserve">, </w:t>
      </w:r>
      <w:r w:rsidRPr="00DC3894">
        <w:rPr>
          <w:b/>
          <w:bCs/>
        </w:rPr>
        <w:t>memory</w:t>
      </w:r>
      <w:r w:rsidRPr="00DC3894">
        <w:t xml:space="preserve">, and </w:t>
      </w:r>
      <w:r w:rsidRPr="00DC3894">
        <w:rPr>
          <w:b/>
          <w:bCs/>
        </w:rPr>
        <w:t>disk I/O</w:t>
      </w:r>
      <w:r w:rsidRPr="00DC3894">
        <w:t xml:space="preserve"> for processing the frequent changes.</w:t>
      </w:r>
    </w:p>
    <w:p w14:paraId="2E8CBE57" w14:textId="77777777" w:rsidR="00DC3894" w:rsidRPr="00DC3894" w:rsidRDefault="00DC3894" w:rsidP="00DC3894">
      <w:pPr>
        <w:numPr>
          <w:ilvl w:val="1"/>
          <w:numId w:val="1"/>
        </w:numPr>
      </w:pPr>
      <w:r w:rsidRPr="00DC3894">
        <w:rPr>
          <w:b/>
          <w:bCs/>
        </w:rPr>
        <w:t>Locking and Concurrency</w:t>
      </w:r>
      <w:r w:rsidRPr="00DC3894">
        <w:t xml:space="preserve">: High OCV may lead to </w:t>
      </w:r>
      <w:r w:rsidRPr="00DC3894">
        <w:rPr>
          <w:b/>
          <w:bCs/>
        </w:rPr>
        <w:t>contention</w:t>
      </w:r>
      <w:r w:rsidRPr="00DC3894">
        <w:t xml:space="preserve"> for locks, as more changes may require more resources and create bottlenecks.</w:t>
      </w:r>
    </w:p>
    <w:p w14:paraId="686EE698" w14:textId="77777777" w:rsidR="00DC3894" w:rsidRPr="00DC3894" w:rsidRDefault="00DC3894" w:rsidP="00DC3894">
      <w:pPr>
        <w:numPr>
          <w:ilvl w:val="1"/>
          <w:numId w:val="1"/>
        </w:numPr>
      </w:pPr>
      <w:r w:rsidRPr="00DC3894">
        <w:rPr>
          <w:b/>
          <w:bCs/>
        </w:rPr>
        <w:t>Indexing Overhead</w:t>
      </w:r>
      <w:r w:rsidRPr="00DC3894">
        <w:t>: Frequent updates and inserts lead to index maintenance overhead, increasing disk I/O and reducing query performance.</w:t>
      </w:r>
    </w:p>
    <w:p w14:paraId="01915101" w14:textId="77777777" w:rsidR="00DC3894" w:rsidRPr="00DC3894" w:rsidRDefault="00DC3894" w:rsidP="00DC3894">
      <w:pPr>
        <w:numPr>
          <w:ilvl w:val="1"/>
          <w:numId w:val="1"/>
        </w:numPr>
      </w:pPr>
      <w:r w:rsidRPr="00DC3894">
        <w:rPr>
          <w:b/>
          <w:bCs/>
        </w:rPr>
        <w:t>Backup and Recovery</w:t>
      </w:r>
      <w:r w:rsidRPr="00DC3894">
        <w:t>: Increased OCV means more frequent transaction log backups to keep track of changes. This requires more storage and may lead to longer backup windows.</w:t>
      </w:r>
    </w:p>
    <w:p w14:paraId="3EDD4989" w14:textId="77777777" w:rsidR="00DC3894" w:rsidRPr="00DC3894" w:rsidRDefault="00DC3894" w:rsidP="00DC3894">
      <w:pPr>
        <w:numPr>
          <w:ilvl w:val="0"/>
          <w:numId w:val="1"/>
        </w:numPr>
      </w:pPr>
      <w:r w:rsidRPr="00DC3894">
        <w:rPr>
          <w:b/>
          <w:bCs/>
        </w:rPr>
        <w:t>Impact of Low OCV</w:t>
      </w:r>
      <w:r w:rsidRPr="00DC3894">
        <w:t>:</w:t>
      </w:r>
    </w:p>
    <w:p w14:paraId="4A5AF31F" w14:textId="77777777" w:rsidR="00DC3894" w:rsidRPr="00DC3894" w:rsidRDefault="00DC3894" w:rsidP="00DC3894">
      <w:pPr>
        <w:numPr>
          <w:ilvl w:val="1"/>
          <w:numId w:val="1"/>
        </w:numPr>
      </w:pPr>
      <w:r w:rsidRPr="00DC3894">
        <w:rPr>
          <w:b/>
          <w:bCs/>
        </w:rPr>
        <w:t>Replication Efficiency</w:t>
      </w:r>
      <w:r w:rsidRPr="00DC3894">
        <w:t>: With fewer changes, replication systems (like transactional replication) experience lower latency and reduced resource consumption, as fewer changes need to be captured and applied.</w:t>
      </w:r>
    </w:p>
    <w:p w14:paraId="1E2DD636" w14:textId="77777777" w:rsidR="00DC3894" w:rsidRPr="00DC3894" w:rsidRDefault="00DC3894" w:rsidP="00DC3894">
      <w:pPr>
        <w:numPr>
          <w:ilvl w:val="1"/>
          <w:numId w:val="1"/>
        </w:numPr>
      </w:pPr>
      <w:r w:rsidRPr="00DC3894">
        <w:rPr>
          <w:b/>
          <w:bCs/>
        </w:rPr>
        <w:t>System Stability</w:t>
      </w:r>
      <w:r w:rsidRPr="00DC3894">
        <w:t>: Systems with low OCV tend to have more predictable behavior and less strain on system resources.</w:t>
      </w:r>
    </w:p>
    <w:p w14:paraId="5F7FA94F" w14:textId="77777777" w:rsidR="00DC3894" w:rsidRPr="00DC3894" w:rsidRDefault="00DC3894" w:rsidP="00DC3894">
      <w:pPr>
        <w:numPr>
          <w:ilvl w:val="1"/>
          <w:numId w:val="1"/>
        </w:numPr>
      </w:pPr>
      <w:r w:rsidRPr="00DC3894">
        <w:rPr>
          <w:b/>
          <w:bCs/>
        </w:rPr>
        <w:t>Index Efficiency</w:t>
      </w:r>
      <w:r w:rsidRPr="00DC3894">
        <w:t>: Low OCV may reduce the need for frequent index updates, leading to lower overhead in maintaining indexes.</w:t>
      </w:r>
    </w:p>
    <w:p w14:paraId="3F8F37C8" w14:textId="77777777" w:rsidR="00DC3894" w:rsidRPr="00DC3894" w:rsidRDefault="00DC3894" w:rsidP="00DC3894">
      <w:pPr>
        <w:numPr>
          <w:ilvl w:val="0"/>
          <w:numId w:val="1"/>
        </w:numPr>
      </w:pPr>
      <w:r w:rsidRPr="00DC3894">
        <w:rPr>
          <w:b/>
          <w:bCs/>
        </w:rPr>
        <w:t>Factors Influencing OCV</w:t>
      </w:r>
      <w:r w:rsidRPr="00DC3894">
        <w:t>:</w:t>
      </w:r>
    </w:p>
    <w:p w14:paraId="745BC5B3" w14:textId="77777777" w:rsidR="00DC3894" w:rsidRPr="00DC3894" w:rsidRDefault="00DC3894" w:rsidP="00DC3894">
      <w:pPr>
        <w:numPr>
          <w:ilvl w:val="1"/>
          <w:numId w:val="1"/>
        </w:numPr>
      </w:pPr>
      <w:r w:rsidRPr="00DC3894">
        <w:rPr>
          <w:b/>
          <w:bCs/>
        </w:rPr>
        <w:t>Application Design</w:t>
      </w:r>
      <w:r w:rsidRPr="00DC3894">
        <w:t>: Frequent updates or batch processing applications can increase OCV significantly.</w:t>
      </w:r>
    </w:p>
    <w:p w14:paraId="7FBC6041" w14:textId="77777777" w:rsidR="00DC3894" w:rsidRPr="00DC3894" w:rsidRDefault="00DC3894" w:rsidP="00DC3894">
      <w:pPr>
        <w:numPr>
          <w:ilvl w:val="1"/>
          <w:numId w:val="1"/>
        </w:numPr>
      </w:pPr>
      <w:r w:rsidRPr="00DC3894">
        <w:rPr>
          <w:b/>
          <w:bCs/>
        </w:rPr>
        <w:t>Business Processes</w:t>
      </w:r>
      <w:r w:rsidRPr="00DC3894">
        <w:t>: Systems with real-time transaction processing (e.g., e-commerce platforms) or heavy reporting activity can experience high OCV.</w:t>
      </w:r>
    </w:p>
    <w:p w14:paraId="78C5A41B" w14:textId="77777777" w:rsidR="00DC3894" w:rsidRPr="00DC3894" w:rsidRDefault="00DC3894" w:rsidP="00DC3894">
      <w:pPr>
        <w:numPr>
          <w:ilvl w:val="1"/>
          <w:numId w:val="1"/>
        </w:numPr>
      </w:pPr>
      <w:r w:rsidRPr="00DC3894">
        <w:rPr>
          <w:b/>
          <w:bCs/>
        </w:rPr>
        <w:t>Data Volume</w:t>
      </w:r>
      <w:r w:rsidRPr="00DC3894">
        <w:t>: Large datasets with frequent changes (e.g., high-volume logs) result in higher OCV compared to systems with smaller datasets.</w:t>
      </w:r>
    </w:p>
    <w:p w14:paraId="5135A1CF" w14:textId="77777777" w:rsidR="00DC3894" w:rsidRPr="00DC3894" w:rsidRDefault="00DC3894" w:rsidP="00DC3894">
      <w:pPr>
        <w:numPr>
          <w:ilvl w:val="1"/>
          <w:numId w:val="1"/>
        </w:numPr>
      </w:pPr>
      <w:r w:rsidRPr="00DC3894">
        <w:rPr>
          <w:b/>
          <w:bCs/>
        </w:rPr>
        <w:t>Data Model and Architecture</w:t>
      </w:r>
      <w:r w:rsidRPr="00DC3894">
        <w:t>: Poorly designed data models, such as tables that require frequent updates (e.g., with few unique keys), tend to have higher OCV.</w:t>
      </w:r>
    </w:p>
    <w:p w14:paraId="118D61BC" w14:textId="77777777" w:rsidR="00DC3894" w:rsidRPr="00DC3894" w:rsidRDefault="00DC3894" w:rsidP="00DC3894">
      <w:pPr>
        <w:numPr>
          <w:ilvl w:val="0"/>
          <w:numId w:val="1"/>
        </w:numPr>
      </w:pPr>
      <w:r w:rsidRPr="00DC3894">
        <w:rPr>
          <w:b/>
          <w:bCs/>
        </w:rPr>
        <w:t>Managing High OCV</w:t>
      </w:r>
      <w:r w:rsidRPr="00DC3894">
        <w:t>:</w:t>
      </w:r>
    </w:p>
    <w:p w14:paraId="77EB3379" w14:textId="77777777" w:rsidR="00DC3894" w:rsidRPr="00DC3894" w:rsidRDefault="00DC3894" w:rsidP="00DC3894">
      <w:pPr>
        <w:numPr>
          <w:ilvl w:val="1"/>
          <w:numId w:val="1"/>
        </w:numPr>
      </w:pPr>
      <w:r w:rsidRPr="00DC3894">
        <w:rPr>
          <w:b/>
          <w:bCs/>
        </w:rPr>
        <w:t>Index Optimization</w:t>
      </w:r>
      <w:r w:rsidRPr="00DC3894">
        <w:t>: Indexing strategies should be optimized to minimize the impact of frequent updates. For example, non-clustered indexes can be used selectively to avoid excessive index maintenance.</w:t>
      </w:r>
    </w:p>
    <w:p w14:paraId="1522A26B" w14:textId="77777777" w:rsidR="00DC3894" w:rsidRPr="00DC3894" w:rsidRDefault="00DC3894" w:rsidP="00DC3894">
      <w:pPr>
        <w:numPr>
          <w:ilvl w:val="1"/>
          <w:numId w:val="1"/>
        </w:numPr>
      </w:pPr>
      <w:r w:rsidRPr="00DC3894">
        <w:rPr>
          <w:b/>
          <w:bCs/>
        </w:rPr>
        <w:t>Partitioning</w:t>
      </w:r>
      <w:r w:rsidRPr="00DC3894">
        <w:t>: Table partitioning can reduce the load on specific areas of the database and improve performance by splitting large tables into more manageable chunks.</w:t>
      </w:r>
    </w:p>
    <w:p w14:paraId="6CBDA747" w14:textId="77777777" w:rsidR="00DC3894" w:rsidRPr="00DC3894" w:rsidRDefault="00DC3894" w:rsidP="00DC3894">
      <w:pPr>
        <w:numPr>
          <w:ilvl w:val="1"/>
          <w:numId w:val="1"/>
        </w:numPr>
      </w:pPr>
      <w:r w:rsidRPr="00DC3894">
        <w:rPr>
          <w:b/>
          <w:bCs/>
        </w:rPr>
        <w:t>Batch Processing</w:t>
      </w:r>
      <w:r w:rsidRPr="00DC3894">
        <w:t>: Reducing the frequency of small transactions and consolidating changes into larger batches can help reduce overhead.</w:t>
      </w:r>
    </w:p>
    <w:p w14:paraId="42C748C7" w14:textId="77777777" w:rsidR="00DC3894" w:rsidRPr="00DC3894" w:rsidRDefault="00DC3894" w:rsidP="00DC3894">
      <w:pPr>
        <w:numPr>
          <w:ilvl w:val="1"/>
          <w:numId w:val="1"/>
        </w:numPr>
      </w:pPr>
      <w:r w:rsidRPr="00DC3894">
        <w:rPr>
          <w:b/>
          <w:bCs/>
        </w:rPr>
        <w:t>Replication Tuning</w:t>
      </w:r>
      <w:r w:rsidRPr="00DC3894">
        <w:t>: In environments with high OCV, replication agents might need to be optimized to handle high traffic, such as increasing batch sizes or adjusting agent schedules.</w:t>
      </w:r>
    </w:p>
    <w:p w14:paraId="723FC90A" w14:textId="77777777" w:rsidR="00DC3894" w:rsidRPr="00DC3894" w:rsidRDefault="00DC3894" w:rsidP="00DC3894">
      <w:pPr>
        <w:numPr>
          <w:ilvl w:val="1"/>
          <w:numId w:val="1"/>
        </w:numPr>
      </w:pPr>
      <w:r w:rsidRPr="00DC3894">
        <w:rPr>
          <w:b/>
          <w:bCs/>
        </w:rPr>
        <w:t>Monitoring and Alerts</w:t>
      </w:r>
      <w:r w:rsidRPr="00DC3894">
        <w:t>: Continuous monitoring of OCV helps to proactively address issues related to performance and replication latency.</w:t>
      </w:r>
    </w:p>
    <w:p w14:paraId="1410812B" w14:textId="77777777" w:rsidR="00DC3894" w:rsidRPr="00DC3894" w:rsidRDefault="00DC3894" w:rsidP="00DC3894">
      <w:pPr>
        <w:numPr>
          <w:ilvl w:val="0"/>
          <w:numId w:val="1"/>
        </w:numPr>
      </w:pPr>
      <w:r w:rsidRPr="00DC3894">
        <w:rPr>
          <w:b/>
          <w:bCs/>
        </w:rPr>
        <w:t>Use Cases</w:t>
      </w:r>
      <w:r w:rsidRPr="00DC3894">
        <w:t>:</w:t>
      </w:r>
    </w:p>
    <w:p w14:paraId="5837FDE6" w14:textId="77777777" w:rsidR="00DC3894" w:rsidRPr="00DC3894" w:rsidRDefault="00DC3894" w:rsidP="00DC3894">
      <w:pPr>
        <w:numPr>
          <w:ilvl w:val="1"/>
          <w:numId w:val="1"/>
        </w:numPr>
      </w:pPr>
      <w:r w:rsidRPr="00DC3894">
        <w:rPr>
          <w:b/>
          <w:bCs/>
        </w:rPr>
        <w:t>Transactional Replication</w:t>
      </w:r>
      <w:r w:rsidRPr="00DC3894">
        <w:t>: High OCV in transactional replication scenarios can cause delays in applying changes to Subscribers. Managing OCV is important for keeping latency low and ensuring system consistency.</w:t>
      </w:r>
    </w:p>
    <w:p w14:paraId="771451FE" w14:textId="77777777" w:rsidR="00DC3894" w:rsidRPr="00DC3894" w:rsidRDefault="00DC3894" w:rsidP="00DC3894">
      <w:pPr>
        <w:numPr>
          <w:ilvl w:val="1"/>
          <w:numId w:val="1"/>
        </w:numPr>
      </w:pPr>
      <w:r w:rsidRPr="00DC3894">
        <w:rPr>
          <w:b/>
          <w:bCs/>
        </w:rPr>
        <w:t>Real-Time Data Syncing</w:t>
      </w:r>
      <w:r w:rsidRPr="00DC3894">
        <w:t>: Applications that rely on real-time data synchronization (e.g., financial systems or order processing systems) are highly sensitive to OCV.</w:t>
      </w:r>
    </w:p>
    <w:p w14:paraId="619A7DA0" w14:textId="77777777" w:rsidR="00DC3894" w:rsidRPr="00DC3894" w:rsidRDefault="00DC3894" w:rsidP="00DC3894">
      <w:pPr>
        <w:numPr>
          <w:ilvl w:val="1"/>
          <w:numId w:val="1"/>
        </w:numPr>
      </w:pPr>
      <w:r w:rsidRPr="00DC3894">
        <w:rPr>
          <w:b/>
          <w:bCs/>
        </w:rPr>
        <w:t>Data Warehousing</w:t>
      </w:r>
      <w:r w:rsidRPr="00DC3894">
        <w:t>: In ETL (Extract, Transform, Load) processes, OCV impacts the frequency and volume of data that needs to be ingested or transformed, affecting performance.</w:t>
      </w:r>
    </w:p>
    <w:p w14:paraId="7ED242CE" w14:textId="77777777" w:rsidR="00DC3894" w:rsidRPr="00DC3894" w:rsidRDefault="00DC3894" w:rsidP="00DC3894">
      <w:r w:rsidRPr="00DC3894">
        <w:pict w14:anchorId="66436772">
          <v:rect id="_x0000_i1031" style="width:0;height:1.5pt" o:hralign="center" o:hrstd="t" o:hr="t" fillcolor="#a0a0a0" stroked="f"/>
        </w:pict>
      </w:r>
    </w:p>
    <w:p w14:paraId="6359D750" w14:textId="77777777" w:rsidR="00DC3894" w:rsidRPr="00DC3894" w:rsidRDefault="00DC3894" w:rsidP="00DC3894">
      <w:pPr>
        <w:rPr>
          <w:b/>
          <w:bCs/>
        </w:rPr>
      </w:pPr>
      <w:r w:rsidRPr="00DC3894">
        <w:rPr>
          <w:b/>
          <w:bCs/>
        </w:rPr>
        <w:t>Conclusion:</w:t>
      </w:r>
    </w:p>
    <w:p w14:paraId="08A60948" w14:textId="77777777" w:rsidR="00DC3894" w:rsidRPr="00DC3894" w:rsidRDefault="00DC3894" w:rsidP="00DC3894">
      <w:r w:rsidRPr="00DC3894">
        <w:rPr>
          <w:b/>
          <w:bCs/>
        </w:rPr>
        <w:t>Object Change Velocity (OCV)</w:t>
      </w:r>
      <w:r w:rsidRPr="00DC3894">
        <w:t xml:space="preserve"> is a critical factor in understanding how frequently data changes within your database. Its impact is significant in replication, performance, indexing, and resource consumption. By monitoring and managing OCV, database administrators can optimize system performance, reduce latency, and ensure efficient resource utilization.</w:t>
      </w:r>
    </w:p>
    <w:p w14:paraId="3435B135" w14:textId="77777777" w:rsidR="00B975C2" w:rsidRDefault="00B975C2"/>
    <w:sectPr w:rsidR="00B97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57DB9"/>
    <w:multiLevelType w:val="multilevel"/>
    <w:tmpl w:val="D4509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6088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C2"/>
    <w:rsid w:val="00B975C2"/>
    <w:rsid w:val="00DC05C9"/>
    <w:rsid w:val="00DC3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ED57B-BB2D-458C-81C2-7950B736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7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75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5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5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5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5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5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5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7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5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5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5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5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5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5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5C2"/>
    <w:rPr>
      <w:rFonts w:eastAsiaTheme="majorEastAsia" w:cstheme="majorBidi"/>
      <w:color w:val="272727" w:themeColor="text1" w:themeTint="D8"/>
    </w:rPr>
  </w:style>
  <w:style w:type="paragraph" w:styleId="Title">
    <w:name w:val="Title"/>
    <w:basedOn w:val="Normal"/>
    <w:next w:val="Normal"/>
    <w:link w:val="TitleChar"/>
    <w:uiPriority w:val="10"/>
    <w:qFormat/>
    <w:rsid w:val="00B97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5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5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5C2"/>
    <w:pPr>
      <w:spacing w:before="160"/>
      <w:jc w:val="center"/>
    </w:pPr>
    <w:rPr>
      <w:i/>
      <w:iCs/>
      <w:color w:val="404040" w:themeColor="text1" w:themeTint="BF"/>
    </w:rPr>
  </w:style>
  <w:style w:type="character" w:customStyle="1" w:styleId="QuoteChar">
    <w:name w:val="Quote Char"/>
    <w:basedOn w:val="DefaultParagraphFont"/>
    <w:link w:val="Quote"/>
    <w:uiPriority w:val="29"/>
    <w:rsid w:val="00B975C2"/>
    <w:rPr>
      <w:i/>
      <w:iCs/>
      <w:color w:val="404040" w:themeColor="text1" w:themeTint="BF"/>
    </w:rPr>
  </w:style>
  <w:style w:type="paragraph" w:styleId="ListParagraph">
    <w:name w:val="List Paragraph"/>
    <w:basedOn w:val="Normal"/>
    <w:uiPriority w:val="34"/>
    <w:qFormat/>
    <w:rsid w:val="00B975C2"/>
    <w:pPr>
      <w:ind w:left="720"/>
      <w:contextualSpacing/>
    </w:pPr>
  </w:style>
  <w:style w:type="character" w:styleId="IntenseEmphasis">
    <w:name w:val="Intense Emphasis"/>
    <w:basedOn w:val="DefaultParagraphFont"/>
    <w:uiPriority w:val="21"/>
    <w:qFormat/>
    <w:rsid w:val="00B975C2"/>
    <w:rPr>
      <w:i/>
      <w:iCs/>
      <w:color w:val="0F4761" w:themeColor="accent1" w:themeShade="BF"/>
    </w:rPr>
  </w:style>
  <w:style w:type="paragraph" w:styleId="IntenseQuote">
    <w:name w:val="Intense Quote"/>
    <w:basedOn w:val="Normal"/>
    <w:next w:val="Normal"/>
    <w:link w:val="IntenseQuoteChar"/>
    <w:uiPriority w:val="30"/>
    <w:qFormat/>
    <w:rsid w:val="00B97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5C2"/>
    <w:rPr>
      <w:i/>
      <w:iCs/>
      <w:color w:val="0F4761" w:themeColor="accent1" w:themeShade="BF"/>
    </w:rPr>
  </w:style>
  <w:style w:type="character" w:styleId="IntenseReference">
    <w:name w:val="Intense Reference"/>
    <w:basedOn w:val="DefaultParagraphFont"/>
    <w:uiPriority w:val="32"/>
    <w:qFormat/>
    <w:rsid w:val="00B975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327094">
      <w:bodyDiv w:val="1"/>
      <w:marLeft w:val="0"/>
      <w:marRight w:val="0"/>
      <w:marTop w:val="0"/>
      <w:marBottom w:val="0"/>
      <w:divBdr>
        <w:top w:val="none" w:sz="0" w:space="0" w:color="auto"/>
        <w:left w:val="none" w:sz="0" w:space="0" w:color="auto"/>
        <w:bottom w:val="none" w:sz="0" w:space="0" w:color="auto"/>
        <w:right w:val="none" w:sz="0" w:space="0" w:color="auto"/>
      </w:divBdr>
      <w:divsChild>
        <w:div w:id="825245087">
          <w:marLeft w:val="0"/>
          <w:marRight w:val="0"/>
          <w:marTop w:val="0"/>
          <w:marBottom w:val="0"/>
          <w:divBdr>
            <w:top w:val="none" w:sz="0" w:space="0" w:color="auto"/>
            <w:left w:val="none" w:sz="0" w:space="0" w:color="auto"/>
            <w:bottom w:val="none" w:sz="0" w:space="0" w:color="auto"/>
            <w:right w:val="none" w:sz="0" w:space="0" w:color="auto"/>
          </w:divBdr>
          <w:divsChild>
            <w:div w:id="1192063709">
              <w:marLeft w:val="0"/>
              <w:marRight w:val="0"/>
              <w:marTop w:val="0"/>
              <w:marBottom w:val="0"/>
              <w:divBdr>
                <w:top w:val="none" w:sz="0" w:space="0" w:color="auto"/>
                <w:left w:val="none" w:sz="0" w:space="0" w:color="auto"/>
                <w:bottom w:val="none" w:sz="0" w:space="0" w:color="auto"/>
                <w:right w:val="none" w:sz="0" w:space="0" w:color="auto"/>
              </w:divBdr>
              <w:divsChild>
                <w:div w:id="1964849505">
                  <w:marLeft w:val="0"/>
                  <w:marRight w:val="0"/>
                  <w:marTop w:val="0"/>
                  <w:marBottom w:val="0"/>
                  <w:divBdr>
                    <w:top w:val="none" w:sz="0" w:space="0" w:color="auto"/>
                    <w:left w:val="none" w:sz="0" w:space="0" w:color="auto"/>
                    <w:bottom w:val="none" w:sz="0" w:space="0" w:color="auto"/>
                    <w:right w:val="none" w:sz="0" w:space="0" w:color="auto"/>
                  </w:divBdr>
                  <w:divsChild>
                    <w:div w:id="537398850">
                      <w:marLeft w:val="0"/>
                      <w:marRight w:val="0"/>
                      <w:marTop w:val="0"/>
                      <w:marBottom w:val="0"/>
                      <w:divBdr>
                        <w:top w:val="none" w:sz="0" w:space="0" w:color="auto"/>
                        <w:left w:val="none" w:sz="0" w:space="0" w:color="auto"/>
                        <w:bottom w:val="none" w:sz="0" w:space="0" w:color="auto"/>
                        <w:right w:val="none" w:sz="0" w:space="0" w:color="auto"/>
                      </w:divBdr>
                      <w:divsChild>
                        <w:div w:id="1491141947">
                          <w:marLeft w:val="0"/>
                          <w:marRight w:val="0"/>
                          <w:marTop w:val="0"/>
                          <w:marBottom w:val="0"/>
                          <w:divBdr>
                            <w:top w:val="none" w:sz="0" w:space="0" w:color="auto"/>
                            <w:left w:val="none" w:sz="0" w:space="0" w:color="auto"/>
                            <w:bottom w:val="none" w:sz="0" w:space="0" w:color="auto"/>
                            <w:right w:val="none" w:sz="0" w:space="0" w:color="auto"/>
                          </w:divBdr>
                          <w:divsChild>
                            <w:div w:id="1209076419">
                              <w:marLeft w:val="0"/>
                              <w:marRight w:val="0"/>
                              <w:marTop w:val="0"/>
                              <w:marBottom w:val="0"/>
                              <w:divBdr>
                                <w:top w:val="none" w:sz="0" w:space="0" w:color="auto"/>
                                <w:left w:val="none" w:sz="0" w:space="0" w:color="auto"/>
                                <w:bottom w:val="none" w:sz="0" w:space="0" w:color="auto"/>
                                <w:right w:val="none" w:sz="0" w:space="0" w:color="auto"/>
                              </w:divBdr>
                              <w:divsChild>
                                <w:div w:id="933703135">
                                  <w:marLeft w:val="0"/>
                                  <w:marRight w:val="0"/>
                                  <w:marTop w:val="0"/>
                                  <w:marBottom w:val="0"/>
                                  <w:divBdr>
                                    <w:top w:val="none" w:sz="0" w:space="0" w:color="auto"/>
                                    <w:left w:val="none" w:sz="0" w:space="0" w:color="auto"/>
                                    <w:bottom w:val="none" w:sz="0" w:space="0" w:color="auto"/>
                                    <w:right w:val="none" w:sz="0" w:space="0" w:color="auto"/>
                                  </w:divBdr>
                                  <w:divsChild>
                                    <w:div w:id="8159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418179">
      <w:bodyDiv w:val="1"/>
      <w:marLeft w:val="0"/>
      <w:marRight w:val="0"/>
      <w:marTop w:val="0"/>
      <w:marBottom w:val="0"/>
      <w:divBdr>
        <w:top w:val="none" w:sz="0" w:space="0" w:color="auto"/>
        <w:left w:val="none" w:sz="0" w:space="0" w:color="auto"/>
        <w:bottom w:val="none" w:sz="0" w:space="0" w:color="auto"/>
        <w:right w:val="none" w:sz="0" w:space="0" w:color="auto"/>
      </w:divBdr>
      <w:divsChild>
        <w:div w:id="533810674">
          <w:marLeft w:val="0"/>
          <w:marRight w:val="0"/>
          <w:marTop w:val="0"/>
          <w:marBottom w:val="0"/>
          <w:divBdr>
            <w:top w:val="none" w:sz="0" w:space="0" w:color="auto"/>
            <w:left w:val="none" w:sz="0" w:space="0" w:color="auto"/>
            <w:bottom w:val="none" w:sz="0" w:space="0" w:color="auto"/>
            <w:right w:val="none" w:sz="0" w:space="0" w:color="auto"/>
          </w:divBdr>
          <w:divsChild>
            <w:div w:id="1356618719">
              <w:marLeft w:val="0"/>
              <w:marRight w:val="0"/>
              <w:marTop w:val="0"/>
              <w:marBottom w:val="0"/>
              <w:divBdr>
                <w:top w:val="none" w:sz="0" w:space="0" w:color="auto"/>
                <w:left w:val="none" w:sz="0" w:space="0" w:color="auto"/>
                <w:bottom w:val="none" w:sz="0" w:space="0" w:color="auto"/>
                <w:right w:val="none" w:sz="0" w:space="0" w:color="auto"/>
              </w:divBdr>
              <w:divsChild>
                <w:div w:id="1709136821">
                  <w:marLeft w:val="0"/>
                  <w:marRight w:val="0"/>
                  <w:marTop w:val="0"/>
                  <w:marBottom w:val="0"/>
                  <w:divBdr>
                    <w:top w:val="none" w:sz="0" w:space="0" w:color="auto"/>
                    <w:left w:val="none" w:sz="0" w:space="0" w:color="auto"/>
                    <w:bottom w:val="none" w:sz="0" w:space="0" w:color="auto"/>
                    <w:right w:val="none" w:sz="0" w:space="0" w:color="auto"/>
                  </w:divBdr>
                  <w:divsChild>
                    <w:div w:id="181671974">
                      <w:marLeft w:val="0"/>
                      <w:marRight w:val="0"/>
                      <w:marTop w:val="0"/>
                      <w:marBottom w:val="0"/>
                      <w:divBdr>
                        <w:top w:val="none" w:sz="0" w:space="0" w:color="auto"/>
                        <w:left w:val="none" w:sz="0" w:space="0" w:color="auto"/>
                        <w:bottom w:val="none" w:sz="0" w:space="0" w:color="auto"/>
                        <w:right w:val="none" w:sz="0" w:space="0" w:color="auto"/>
                      </w:divBdr>
                      <w:divsChild>
                        <w:div w:id="1290041923">
                          <w:marLeft w:val="0"/>
                          <w:marRight w:val="0"/>
                          <w:marTop w:val="0"/>
                          <w:marBottom w:val="0"/>
                          <w:divBdr>
                            <w:top w:val="none" w:sz="0" w:space="0" w:color="auto"/>
                            <w:left w:val="none" w:sz="0" w:space="0" w:color="auto"/>
                            <w:bottom w:val="none" w:sz="0" w:space="0" w:color="auto"/>
                            <w:right w:val="none" w:sz="0" w:space="0" w:color="auto"/>
                          </w:divBdr>
                          <w:divsChild>
                            <w:div w:id="1620798543">
                              <w:marLeft w:val="0"/>
                              <w:marRight w:val="0"/>
                              <w:marTop w:val="0"/>
                              <w:marBottom w:val="0"/>
                              <w:divBdr>
                                <w:top w:val="none" w:sz="0" w:space="0" w:color="auto"/>
                                <w:left w:val="none" w:sz="0" w:space="0" w:color="auto"/>
                                <w:bottom w:val="none" w:sz="0" w:space="0" w:color="auto"/>
                                <w:right w:val="none" w:sz="0" w:space="0" w:color="auto"/>
                              </w:divBdr>
                              <w:divsChild>
                                <w:div w:id="1051660912">
                                  <w:marLeft w:val="0"/>
                                  <w:marRight w:val="0"/>
                                  <w:marTop w:val="0"/>
                                  <w:marBottom w:val="0"/>
                                  <w:divBdr>
                                    <w:top w:val="none" w:sz="0" w:space="0" w:color="auto"/>
                                    <w:left w:val="none" w:sz="0" w:space="0" w:color="auto"/>
                                    <w:bottom w:val="none" w:sz="0" w:space="0" w:color="auto"/>
                                    <w:right w:val="none" w:sz="0" w:space="0" w:color="auto"/>
                                  </w:divBdr>
                                  <w:divsChild>
                                    <w:div w:id="20539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2025-03-17T00:35:00Z</dcterms:created>
  <dcterms:modified xsi:type="dcterms:W3CDTF">2025-03-17T00:35:00Z</dcterms:modified>
</cp:coreProperties>
</file>