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7A90E" w14:textId="039D48A8" w:rsidR="00B93257" w:rsidRDefault="007D11EF">
      <w:r>
        <w:fldChar w:fldCharType="begin"/>
      </w:r>
      <w:r>
        <w:instrText>HYPERLINK "</w:instrText>
      </w:r>
      <w:r w:rsidRPr="007D11EF">
        <w:instrText>https://learn.microsoft.com/en-us/sql/t-sql/statements/set-transaction-isolation-level-transact-sql?view=sql-server-ver16</w:instrText>
      </w:r>
      <w:r>
        <w:instrText>"</w:instrText>
      </w:r>
      <w:r>
        <w:fldChar w:fldCharType="separate"/>
      </w:r>
      <w:r w:rsidRPr="00CF370B">
        <w:rPr>
          <w:rStyle w:val="Hyperlink"/>
        </w:rPr>
        <w:t>https://learn.microsoft.com/en-us/sql/t-sql/statements/set-transaction-isolation-level-transact-sql?view=sql-server-ver16</w:t>
      </w:r>
      <w:r>
        <w:fldChar w:fldCharType="end"/>
      </w:r>
    </w:p>
    <w:p w14:paraId="7737210F" w14:textId="77777777" w:rsidR="007D11EF" w:rsidRPr="007D11EF" w:rsidRDefault="007D11EF" w:rsidP="007D11EF">
      <w:pPr>
        <w:rPr>
          <w:b/>
          <w:bCs/>
        </w:rPr>
      </w:pPr>
      <w:r w:rsidRPr="007D11EF">
        <w:rPr>
          <w:b/>
          <w:bCs/>
        </w:rPr>
        <w:t>SET TRANSACTION ISOLATION LEVEL (Transact-SQL)</w:t>
      </w:r>
    </w:p>
    <w:p w14:paraId="18FC2414" w14:textId="77777777" w:rsidR="007D11EF" w:rsidRPr="007D11EF" w:rsidRDefault="007D11EF" w:rsidP="007D11EF">
      <w:pPr>
        <w:numPr>
          <w:ilvl w:val="0"/>
          <w:numId w:val="1"/>
        </w:numPr>
      </w:pPr>
      <w:r w:rsidRPr="007D11EF">
        <w:t>Article</w:t>
      </w:r>
    </w:p>
    <w:p w14:paraId="1C00CED6" w14:textId="77777777" w:rsidR="007D11EF" w:rsidRPr="007D11EF" w:rsidRDefault="007D11EF" w:rsidP="007D11EF">
      <w:pPr>
        <w:numPr>
          <w:ilvl w:val="0"/>
          <w:numId w:val="1"/>
        </w:numPr>
      </w:pPr>
      <w:r w:rsidRPr="007D11EF">
        <w:t>09/03/2024</w:t>
      </w:r>
    </w:p>
    <w:p w14:paraId="660BAABA" w14:textId="77777777" w:rsidR="007D11EF" w:rsidRPr="007D11EF" w:rsidRDefault="007D11EF" w:rsidP="007D11EF">
      <w:pPr>
        <w:numPr>
          <w:ilvl w:val="0"/>
          <w:numId w:val="1"/>
        </w:numPr>
      </w:pPr>
      <w:r w:rsidRPr="007D11EF">
        <w:t>18 contributors</w:t>
      </w:r>
    </w:p>
    <w:p w14:paraId="68A18A3E" w14:textId="77777777" w:rsidR="007D11EF" w:rsidRPr="007D11EF" w:rsidRDefault="007D11EF" w:rsidP="007D11EF">
      <w:r w:rsidRPr="007D11EF">
        <w:t>Feedback</w:t>
      </w:r>
    </w:p>
    <w:p w14:paraId="18416336" w14:textId="77777777" w:rsidR="007D11EF" w:rsidRPr="007D11EF" w:rsidRDefault="007D11EF" w:rsidP="007D11EF">
      <w:pPr>
        <w:rPr>
          <w:b/>
          <w:bCs/>
        </w:rPr>
      </w:pPr>
      <w:r w:rsidRPr="007D11EF">
        <w:rPr>
          <w:b/>
          <w:bCs/>
        </w:rPr>
        <w:t>In this article</w:t>
      </w:r>
    </w:p>
    <w:p w14:paraId="1F87DDAB" w14:textId="77777777" w:rsidR="007D11EF" w:rsidRPr="007D11EF" w:rsidRDefault="007D11EF" w:rsidP="007D11EF">
      <w:pPr>
        <w:numPr>
          <w:ilvl w:val="0"/>
          <w:numId w:val="2"/>
        </w:numPr>
      </w:pPr>
      <w:hyperlink r:id="rId5" w:anchor="syntax" w:history="1">
        <w:r w:rsidRPr="007D11EF">
          <w:rPr>
            <w:rStyle w:val="Hyperlink"/>
          </w:rPr>
          <w:t>Syntax</w:t>
        </w:r>
      </w:hyperlink>
    </w:p>
    <w:p w14:paraId="3A4FB4CD" w14:textId="77777777" w:rsidR="007D11EF" w:rsidRPr="007D11EF" w:rsidRDefault="007D11EF" w:rsidP="007D11EF">
      <w:pPr>
        <w:numPr>
          <w:ilvl w:val="0"/>
          <w:numId w:val="2"/>
        </w:numPr>
      </w:pPr>
      <w:hyperlink r:id="rId6" w:anchor="arguments" w:history="1">
        <w:r w:rsidRPr="007D11EF">
          <w:rPr>
            <w:rStyle w:val="Hyperlink"/>
          </w:rPr>
          <w:t>Arguments</w:t>
        </w:r>
      </w:hyperlink>
    </w:p>
    <w:p w14:paraId="1ED7E17C" w14:textId="77777777" w:rsidR="007D11EF" w:rsidRPr="007D11EF" w:rsidRDefault="007D11EF" w:rsidP="007D11EF">
      <w:pPr>
        <w:numPr>
          <w:ilvl w:val="0"/>
          <w:numId w:val="2"/>
        </w:numPr>
      </w:pPr>
      <w:hyperlink r:id="rId7" w:anchor="remarks" w:history="1">
        <w:r w:rsidRPr="007D11EF">
          <w:rPr>
            <w:rStyle w:val="Hyperlink"/>
          </w:rPr>
          <w:t>Remarks</w:t>
        </w:r>
      </w:hyperlink>
    </w:p>
    <w:p w14:paraId="5AF210B0" w14:textId="77777777" w:rsidR="007D11EF" w:rsidRPr="007D11EF" w:rsidRDefault="007D11EF" w:rsidP="007D11EF">
      <w:pPr>
        <w:numPr>
          <w:ilvl w:val="0"/>
          <w:numId w:val="2"/>
        </w:numPr>
      </w:pPr>
      <w:hyperlink r:id="rId8" w:anchor="examples" w:history="1">
        <w:r w:rsidRPr="007D11EF">
          <w:rPr>
            <w:rStyle w:val="Hyperlink"/>
          </w:rPr>
          <w:t>Examples</w:t>
        </w:r>
      </w:hyperlink>
    </w:p>
    <w:p w14:paraId="096B50EC" w14:textId="7457C7CE" w:rsidR="00555A83" w:rsidRDefault="00555A83" w:rsidP="00555A83">
      <w:pPr>
        <w:pStyle w:val="NormalWeb"/>
        <w:shd w:val="clear" w:color="auto" w:fill="FFFFFF"/>
        <w:ind w:left="720"/>
        <w:rPr>
          <w:rFonts w:ascii="Segoe UI" w:hAnsi="Segoe UI" w:cs="Segoe UI"/>
          <w:color w:val="161616"/>
        </w:rPr>
      </w:pPr>
      <w:r>
        <w:rPr>
          <w:rStyle w:val="Strong"/>
          <w:rFonts w:ascii="Segoe UI" w:eastAsiaTheme="majorEastAsia" w:hAnsi="Segoe UI" w:cs="Segoe UI"/>
          <w:color w:val="161616"/>
        </w:rPr>
        <w:t>Applies to:</w:t>
      </w:r>
      <w:r>
        <w:rPr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noProof/>
          <w:color w:val="161616"/>
        </w:rPr>
        <mc:AlternateContent>
          <mc:Choice Requires="wps">
            <w:drawing>
              <wp:inline distT="0" distB="0" distL="0" distR="0" wp14:anchorId="1BE9F112" wp14:editId="20DA5E13">
                <wp:extent cx="304800" cy="304800"/>
                <wp:effectExtent l="0" t="0" r="0" b="0"/>
                <wp:docPr id="1107955836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0E12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61616"/>
        </w:rPr>
        <w:t> </w:t>
      </w:r>
      <w:hyperlink r:id="rId9" w:anchor="applies-to" w:history="1">
        <w:r>
          <w:rPr>
            <w:rStyle w:val="Hyperlink"/>
            <w:rFonts w:ascii="Segoe UI" w:eastAsiaTheme="majorEastAsia" w:hAnsi="Segoe UI" w:cs="Segoe UI"/>
          </w:rPr>
          <w:t>SQL Server</w:t>
        </w:r>
      </w:hyperlink>
      <w:r>
        <w:rPr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noProof/>
          <w:color w:val="161616"/>
        </w:rPr>
        <mc:AlternateContent>
          <mc:Choice Requires="wps">
            <w:drawing>
              <wp:inline distT="0" distB="0" distL="0" distR="0" wp14:anchorId="78D1ED8B" wp14:editId="65CEB20A">
                <wp:extent cx="304800" cy="304800"/>
                <wp:effectExtent l="0" t="0" r="0" b="0"/>
                <wp:docPr id="119653382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A728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61616"/>
        </w:rPr>
        <w:t> </w:t>
      </w:r>
      <w:hyperlink r:id="rId10" w:anchor="applies-to" w:history="1">
        <w:r>
          <w:rPr>
            <w:rStyle w:val="Hyperlink"/>
            <w:rFonts w:ascii="Segoe UI" w:eastAsiaTheme="majorEastAsia" w:hAnsi="Segoe UI" w:cs="Segoe UI"/>
          </w:rPr>
          <w:t>Azure SQL Database</w:t>
        </w:r>
      </w:hyperlink>
      <w:r>
        <w:rPr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noProof/>
          <w:color w:val="161616"/>
        </w:rPr>
        <mc:AlternateContent>
          <mc:Choice Requires="wps">
            <w:drawing>
              <wp:inline distT="0" distB="0" distL="0" distR="0" wp14:anchorId="2892DB91" wp14:editId="0F42C115">
                <wp:extent cx="304800" cy="304800"/>
                <wp:effectExtent l="0" t="0" r="0" b="0"/>
                <wp:docPr id="123148943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6073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61616"/>
        </w:rPr>
        <w:t> </w:t>
      </w:r>
      <w:hyperlink r:id="rId11" w:anchor="applies-to" w:history="1">
        <w:r>
          <w:rPr>
            <w:rStyle w:val="Hyperlink"/>
            <w:rFonts w:ascii="Segoe UI" w:eastAsiaTheme="majorEastAsia" w:hAnsi="Segoe UI" w:cs="Segoe UI"/>
          </w:rPr>
          <w:t>Azure SQL Managed Instance</w:t>
        </w:r>
      </w:hyperlink>
      <w:r>
        <w:rPr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noProof/>
          <w:color w:val="161616"/>
        </w:rPr>
        <mc:AlternateContent>
          <mc:Choice Requires="wps">
            <w:drawing>
              <wp:inline distT="0" distB="0" distL="0" distR="0" wp14:anchorId="24FE1D13" wp14:editId="17612148">
                <wp:extent cx="304800" cy="304800"/>
                <wp:effectExtent l="0" t="0" r="0" b="0"/>
                <wp:docPr id="100119737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5DC1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61616"/>
        </w:rPr>
        <w:t> </w:t>
      </w:r>
      <w:hyperlink r:id="rId12" w:anchor="applies-to" w:history="1">
        <w:r>
          <w:rPr>
            <w:rStyle w:val="Hyperlink"/>
            <w:rFonts w:ascii="Segoe UI" w:eastAsiaTheme="majorEastAsia" w:hAnsi="Segoe UI" w:cs="Segoe UI"/>
          </w:rPr>
          <w:t>Azure Synapse Analytics</w:t>
        </w:r>
      </w:hyperlink>
      <w:r>
        <w:rPr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noProof/>
          <w:color w:val="161616"/>
        </w:rPr>
        <mc:AlternateContent>
          <mc:Choice Requires="wps">
            <w:drawing>
              <wp:inline distT="0" distB="0" distL="0" distR="0" wp14:anchorId="43AE1BBF" wp14:editId="57EC275F">
                <wp:extent cx="304800" cy="304800"/>
                <wp:effectExtent l="0" t="0" r="0" b="0"/>
                <wp:docPr id="173789895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F27F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61616"/>
        </w:rPr>
        <w:t> </w:t>
      </w:r>
      <w:proofErr w:type="spellStart"/>
      <w:r>
        <w:rPr>
          <w:rFonts w:ascii="Segoe UI" w:hAnsi="Segoe UI" w:cs="Segoe UI"/>
          <w:color w:val="161616"/>
        </w:rPr>
        <w:fldChar w:fldCharType="begin"/>
      </w:r>
      <w:r>
        <w:rPr>
          <w:rFonts w:ascii="Segoe UI" w:hAnsi="Segoe UI" w:cs="Segoe UI"/>
          <w:color w:val="161616"/>
        </w:rPr>
        <w:instrText>HYPERLINK "https://learn.microsoft.com/en-us/sql/sql-server/sql-docs-navigation-guide?view=sql-server-ver16" \l "applies-to"</w:instrText>
      </w:r>
      <w:r>
        <w:rPr>
          <w:rFonts w:ascii="Segoe UI" w:hAnsi="Segoe UI" w:cs="Segoe UI"/>
          <w:color w:val="161616"/>
        </w:rPr>
      </w:r>
      <w:r>
        <w:rPr>
          <w:rFonts w:ascii="Segoe UI" w:hAnsi="Segoe UI" w:cs="Segoe UI"/>
          <w:color w:val="161616"/>
        </w:rPr>
        <w:fldChar w:fldCharType="separate"/>
      </w:r>
      <w:r>
        <w:rPr>
          <w:rStyle w:val="Hyperlink"/>
          <w:rFonts w:ascii="Segoe UI" w:eastAsiaTheme="majorEastAsia" w:hAnsi="Segoe UI" w:cs="Segoe UI"/>
        </w:rPr>
        <w:t>Analytics</w:t>
      </w:r>
      <w:proofErr w:type="spellEnd"/>
      <w:r>
        <w:rPr>
          <w:rStyle w:val="Hyperlink"/>
          <w:rFonts w:ascii="Segoe UI" w:eastAsiaTheme="majorEastAsia" w:hAnsi="Segoe UI" w:cs="Segoe UI"/>
        </w:rPr>
        <w:t xml:space="preserve"> Platform System (PDW)</w:t>
      </w:r>
      <w:r>
        <w:rPr>
          <w:rFonts w:ascii="Segoe UI" w:hAnsi="Segoe UI" w:cs="Segoe UI"/>
          <w:color w:val="161616"/>
        </w:rPr>
        <w:fldChar w:fldCharType="end"/>
      </w:r>
    </w:p>
    <w:p w14:paraId="750C1BBD" w14:textId="77777777" w:rsidR="00555A83" w:rsidRDefault="00555A83" w:rsidP="00555A83">
      <w:pPr>
        <w:pStyle w:val="NormalWeb"/>
        <w:shd w:val="clear" w:color="auto" w:fill="FFFFFF"/>
        <w:ind w:left="72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Controls the locking and row versioning behavior of Transact-SQL statements issued by a connection to SQL Server.</w:t>
      </w:r>
    </w:p>
    <w:p w14:paraId="273FB4F8" w14:textId="77777777" w:rsidR="007D11EF" w:rsidRDefault="007D11EF"/>
    <w:sectPr w:rsidR="007D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45A1"/>
    <w:multiLevelType w:val="multilevel"/>
    <w:tmpl w:val="D8E6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9713B"/>
    <w:multiLevelType w:val="multilevel"/>
    <w:tmpl w:val="69CA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358578">
    <w:abstractNumId w:val="0"/>
  </w:num>
  <w:num w:numId="2" w16cid:durableId="136075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57"/>
    <w:rsid w:val="00351D26"/>
    <w:rsid w:val="00555A83"/>
    <w:rsid w:val="007D11EF"/>
    <w:rsid w:val="00B9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DE64"/>
  <w15:chartTrackingRefBased/>
  <w15:docId w15:val="{175E259F-D6D1-4B53-A57E-E2E6DAAE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2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11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1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5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t-sql/statements/set-transaction-isolation-level-transact-sql?view=sql-server-ver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t-sql/statements/set-transaction-isolation-level-transact-sql?view=sql-server-ver16" TargetMode="External"/><Relationship Id="rId12" Type="http://schemas.openxmlformats.org/officeDocument/2006/relationships/hyperlink" Target="https://learn.microsoft.com/en-us/sql/sql-server/sql-docs-navigation-guide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t-sql/statements/set-transaction-isolation-level-transact-sql?view=sql-server-ver16" TargetMode="External"/><Relationship Id="rId11" Type="http://schemas.openxmlformats.org/officeDocument/2006/relationships/hyperlink" Target="https://learn.microsoft.com/en-us/sql/sql-server/sql-docs-navigation-guide?view=sql-server-ver16" TargetMode="External"/><Relationship Id="rId5" Type="http://schemas.openxmlformats.org/officeDocument/2006/relationships/hyperlink" Target="https://learn.microsoft.com/en-us/sql/t-sql/statements/set-transaction-isolation-level-transact-sql?view=sql-server-ver16" TargetMode="External"/><Relationship Id="rId10" Type="http://schemas.openxmlformats.org/officeDocument/2006/relationships/hyperlink" Target="https://learn.microsoft.com/en-us/sql/sql-server/sql-docs-navigation-guide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sql-server/sql-docs-navigation-guide?view=sql-server-ver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2025-01-27T20:16:00Z</dcterms:created>
  <dcterms:modified xsi:type="dcterms:W3CDTF">2025-01-27T20:17:00Z</dcterms:modified>
</cp:coreProperties>
</file>