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need</w:t>
      </w:r>
      <w:r>
        <w:t xml:space="preserve"> </w:t>
      </w:r>
      <w:r>
        <w:t xml:space="preserve">larger</w:t>
      </w:r>
      <w:r>
        <w:t xml:space="preserve"> </w:t>
      </w:r>
      <w:r>
        <w:t xml:space="preserve">brains</w:t>
      </w:r>
      <w:r>
        <w:t xml:space="preserve"> </w:t>
      </w:r>
      <w:r>
        <w:t xml:space="preserve">to</w:t>
      </w:r>
      <w:r>
        <w:t xml:space="preserve"> </w:t>
      </w:r>
      <w:r>
        <w:t xml:space="preserve">thrive</w:t>
      </w:r>
      <w:r>
        <w:t xml:space="preserve"> </w:t>
      </w:r>
      <w:r>
        <w:t xml:space="preserve">in</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Jose B. Lanuza</w:t>
      </w:r>
      <m:oMath>
        <m:sSup>
          <m:e>
            <m:r>
              <m:t>​</m:t>
            </m:r>
          </m:e>
          <m:sup>
            <m:r>
              <m:t>1</m:t>
            </m:r>
          </m:sup>
        </m:sSup>
      </m:oMath>
      <w:r>
        <w:t xml:space="preserve"> </w:t>
      </w:r>
      <w:hyperlink r:id="rId20">
        <w:r>
          <w:rPr>
            <w:rStyle w:val="Hyperlink"/>
          </w:rPr>
          <w:t xml:space="preserve">https://orcid.org/0000-0002-0287-409X</w:t>
        </w:r>
      </w:hyperlink>
      <w:r>
        <w:t xml:space="preserve">, Miguel Á. Collado</w:t>
      </w:r>
      <m:oMath>
        <m:sSup>
          <m:e>
            <m:r>
              <m:t>​</m:t>
            </m:r>
          </m:e>
          <m:sup>
            <m:r>
              <m:t>1</m:t>
            </m:r>
            <m:r>
              <m:rPr>
                <m:sty m:val="p"/>
              </m:rPr>
              <m:t>,</m:t>
            </m:r>
            <m:r>
              <m:t>2</m:t>
            </m:r>
          </m:sup>
        </m:sSup>
      </m:oMath>
      <w:r>
        <w:t xml:space="preserve"> </w:t>
      </w:r>
      <w:hyperlink r:id="rId21">
        <w:r>
          <w:rPr>
            <w:rStyle w:val="Hyperlink"/>
          </w:rPr>
          <w:t xml:space="preserve">https://orcid.org/0000-0002-4216-317X</w:t>
        </w:r>
      </w:hyperlink>
      <w:r>
        <w:t xml:space="preserve">, Ferran Sayol</w:t>
      </w:r>
      <m:oMath>
        <m:sSup>
          <m:e>
            <m:r>
              <m:t>​</m:t>
            </m:r>
          </m:e>
          <m:sup>
            <m:r>
              <m:t>3</m:t>
            </m:r>
          </m:sup>
        </m:sSup>
      </m:oMath>
      <w:r>
        <w:t xml:space="preserve"> </w:t>
      </w:r>
      <w:hyperlink r:id="rId22">
        <w:r>
          <w:rPr>
            <w:rStyle w:val="Hyperlink"/>
          </w:rPr>
          <w:t xml:space="preserve">https://orcid.org/0000-0003-3540-7487</w:t>
        </w:r>
      </w:hyperlink>
      <w:r>
        <w:t xml:space="preserve">, Daniel Sol</w:t>
      </w:r>
      <m:oMath>
        <m:sSup>
          <m:e>
            <m:r>
              <m:t>​</m:t>
            </m:r>
          </m:e>
          <m:sup>
            <m:r>
              <m:t>3</m:t>
            </m:r>
          </m:sup>
        </m:sSup>
      </m:oMath>
      <w:r>
        <w:t xml:space="preserve"> </w:t>
      </w:r>
      <w:hyperlink r:id="rId23">
        <w:r>
          <w:rPr>
            <w:rStyle w:val="Hyperlink"/>
          </w:rPr>
          <w:t xml:space="preserve">https://orcid.org/0000-0001-6346-6949</w:t>
        </w:r>
      </w:hyperlink>
      <w:r>
        <w:t xml:space="preserve"> </w:t>
      </w:r>
      <w:r>
        <w:t xml:space="preserve">and Ignasi Bartomeus</w:t>
      </w:r>
      <m:oMath>
        <m:sSup>
          <m:e>
            <m:r>
              <m:t>​</m:t>
            </m:r>
          </m:e>
          <m:sup>
            <m:r>
              <m:t>1</m:t>
            </m:r>
          </m:sup>
        </m:sSup>
      </m:oMath>
      <w:r>
        <w:t xml:space="preserve"> </w:t>
      </w:r>
      <w:hyperlink r:id="rId24">
        <w:r>
          <w:rPr>
            <w:rStyle w:val="Hyperlink"/>
          </w:rPr>
          <w:t xml:space="preserve">https://orcid.org/0000-0001-7893-4389</w:t>
        </w:r>
      </w:hyperlink>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Departamento de Ciencias de la Computación e Inteligencia Artificial, Universidad de Sevilla, Seville, Spain</w:t>
      </w:r>
    </w:p>
    <w:p>
      <w:pPr>
        <w:pStyle w:val="BodyText"/>
      </w:pPr>
      <m:oMath>
        <m:sSup>
          <m:e>
            <m:r>
              <m:t>​</m:t>
            </m:r>
          </m:e>
          <m:sup>
            <m:r>
              <m:t>3</m:t>
            </m:r>
          </m:sup>
        </m:sSup>
      </m:oMath>
      <w:r>
        <w:t xml:space="preserve">Centre for Ecological Research and Forestry Applications (CREAF), Bellaterra, Catalonia, Spain</w:t>
      </w:r>
    </w:p>
    <w:p>
      <w:pPr>
        <w:pStyle w:val="BodyText"/>
      </w:pPr>
      <w:r>
        <w:rPr>
          <w:bCs/>
          <w:b/>
        </w:rPr>
        <w:t xml:space="preserve">Author for correspondence: barragansljose@gmail.com</w:t>
      </w:r>
    </w:p>
    <w:p>
      <w:pPr>
        <w:pStyle w:val="BodyText"/>
      </w:pPr>
    </w:p>
    <w:bookmarkStart w:id="25"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consequences for their fundamental role as plant pollinators. However, not all pollinators are negatively affected by habitat conversion, as certain species find in anthropogenic landscapes appropriate resources to persist and proliferate. The reason why some species thrive in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brains for 335 individuals from 89 bee species, and evaluated the association of their brain sizes with detailed information on habitat preferences. Our analyses revealed that bees that prefer urban habitats had larger brains relative to their body size than those who prefer forested or agricultural habitats. Additionally, urban bees exhibited larger body sizes and, consequently, larger absolute brain sizes. Our results provide the first empirical support for the cognitive buffer hypothesis in invertebrates, suggesting that a large brain in bees could confer behavioural advantages to tolerate urban environments.</w:t>
      </w:r>
    </w:p>
    <w:p>
      <w:pPr>
        <w:pStyle w:val="BodyText"/>
      </w:pPr>
      <w:r>
        <w:t xml:space="preserve">Keywords: relative brain size, habitat preference, Apoidea, urbanisation, pollinators</w:t>
      </w:r>
    </w:p>
    <w:bookmarkEnd w:id="25"/>
    <w:bookmarkStart w:id="27"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the survival and reproduction of organisms, increasing their risk of extinction by maldaptation</w:t>
      </w:r>
      <w:r>
        <w:t xml:space="preserve"> </w:t>
      </w:r>
      <w:r>
        <w:t xml:space="preserve">[</w:t>
      </w:r>
      <w:hyperlink w:anchor="ref-winfree2011">
        <w:r>
          <w:rPr>
            <w:rStyle w:val="Hyperlink"/>
          </w:rPr>
          <w:t xml:space="preserve">7</w:t>
        </w:r>
      </w:hyperlink>
      <w:r>
        <w:t xml:space="preserve">,</w:t>
      </w:r>
      <w:hyperlink w:anchor="ref-brown2009">
        <w:r>
          <w:rPr>
            <w:rStyle w:val="Hyperlink"/>
          </w:rPr>
          <w:t xml:space="preserve">8</w:t>
        </w:r>
      </w:hyperlink>
      <w:r>
        <w:t xml:space="preserve">,</w:t>
      </w:r>
      <w:hyperlink w:anchor="ref-harrison2019">
        <w:r>
          <w:rPr>
            <w:rStyle w:val="Hyperlink"/>
          </w:rPr>
          <w:t xml:space="preserve">9</w:t>
        </w:r>
      </w:hyperlink>
      <w:r>
        <w:t xml:space="preserve">]</w:t>
      </w:r>
      <w:r>
        <w:t xml:space="preserve">. Yet, not all pollinator species are negatively affected by land use change. For instance,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[e.g.,</w:t>
      </w:r>
      <w:r>
        <w:t xml:space="preserve"> </w:t>
      </w:r>
      <w:r>
        <w:rPr>
          <w:iCs/>
          <w:i/>
        </w:rPr>
        <w:t xml:space="preserve">Bombus terrestris</w:t>
      </w:r>
      <w:r>
        <w:t xml:space="preserve">;</w:t>
      </w:r>
      <w:r>
        <w:t xml:space="preserve"> </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—notably cities— drastically modify the original conditions where pollinators evolved, but can also offer unique ecological opportunities in the form of new nesting spots,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cognition</w:t>
      </w:r>
      <w:r>
        <w:t xml:space="preserve"> </w:t>
      </w:r>
      <w:r>
        <w:t xml:space="preserve">[</w:t>
      </w:r>
      <w:hyperlink w:anchor="ref-sol2009">
        <w:r>
          <w:rPr>
            <w:rStyle w:val="Hyperlink"/>
          </w:rPr>
          <w:t xml:space="preserve">16</w:t>
        </w:r>
      </w:hyperlink>
      <w:r>
        <w:t xml:space="preserve">]</w:t>
      </w:r>
      <w:r>
        <w:t xml:space="preserve">, that is, the processes involved in gathering, storing and reacting to environmental information</w:t>
      </w:r>
      <w:r>
        <w:t xml:space="preserve"> </w:t>
      </w:r>
      <w:r>
        <w:t xml:space="preserve">[</w:t>
      </w:r>
      <w:hyperlink w:anchor="ref-shettleworth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numerous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simple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size—both in absolute terms and relative to body size— with species that have larger brains also exhibiting enhanced cognitive performance</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w:t>
      </w:r>
      <w:r>
        <w:t xml:space="preserve"> </w:t>
      </w:r>
      <w:r>
        <w:t xml:space="preserve">“</w:t>
      </w:r>
      <w:r>
        <w:t xml:space="preserve">cognitive-buffer hypothesis</w:t>
      </w:r>
      <w:r>
        <w:t xml:space="preserve">”</w:t>
      </w:r>
      <w:r>
        <w:t xml:space="preserve"> </w:t>
      </w:r>
      <w:r>
        <w:t xml:space="preserve">in insects. Our test is based on a unique database of brain measures for 89 European and North American bee species. By means of detailed georeferenced information of species occurrences (GBIF;</w:t>
      </w:r>
      <w:r>
        <w:t xml:space="preserve"> </w:t>
      </w:r>
      <w:hyperlink r:id="rId26">
        <w:r>
          <w:rPr>
            <w:rStyle w:val="Hyperlink"/>
          </w:rPr>
          <w:t xml:space="preserve">http://www.gbif.org/</w:t>
        </w:r>
      </w:hyperlink>
      <w:r>
        <w:t xml:space="preserve">), we characterise habitat preferences for all the species, and use a phylogenetically-informed comparative analysis to assess whether bees that proliferate in human-altered habitats have enlarged brains compared to those that avoid them.</w:t>
      </w:r>
    </w:p>
    <w:bookmarkEnd w:id="27"/>
    <w:bookmarkStart w:id="31" w:name="methods"/>
    <w:p>
      <w:pPr>
        <w:pStyle w:val="Heading1"/>
      </w:pPr>
      <w:r>
        <w:t xml:space="preserve">2. Methods</w:t>
      </w:r>
    </w:p>
    <w:bookmarkStart w:id="28" w:name="a-brain-measurements"/>
    <w:p>
      <w:pPr>
        <w:pStyle w:val="Heading2"/>
      </w:pPr>
      <w:r>
        <w:t xml:space="preserve">(a) Brain measurements</w:t>
      </w:r>
    </w:p>
    <w:p>
      <w:pPr>
        <w:pStyle w:val="FirstParagraph"/>
      </w:pPr>
      <w:r>
        <w:t xml:space="preserve">Our dataset contains measurements of brain and body size for bee specimens captured on flowers by hand netting in different areas of the East Coast of the United States and Europe (Spain and the Netherlands). The dataset includes information of 335 female individuals from 89 species that represent 6 families and 31 genera. We only considered female specimens because: (i) they are involved in a greater diversity of tasks than males, and hence are expected to experience greater environmental pressures; and (ii), have brains that are structurally and functionally different from those of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 [</w:t>
      </w:r>
      <w:r>
        <w:t xml:space="preserve">[</w:t>
      </w:r>
      <w:hyperlink w:anchor="ref-kendall2019">
        <w:r>
          <w:rPr>
            <w:rStyle w:val="Hyperlink"/>
          </w:rPr>
          <w:t xml:space="preserve">31</w:t>
        </w:r>
      </w:hyperlink>
      <w:r>
        <w:t xml:space="preserve">]</w:t>
      </w:r>
      <w:r>
        <w:t xml:space="preserve">; see supplementary text].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and low values denote smaller brains than expected. Our bee dataset showed a strong allometric relationship between brain and body size (Bayesian R</w:t>
      </w:r>
      <m:oMath>
        <m:sSup>
          <m:e>
            <m:r>
              <m:t>​</m:t>
            </m:r>
          </m:e>
          <m:sup>
            <m:r>
              <m:t>2</m:t>
            </m:r>
          </m:sup>
        </m:sSup>
      </m:oMath>
      <w:r>
        <w:t xml:space="preserve"> </w:t>
      </w:r>
      <w:r>
        <w:t xml:space="preserve">= 0.9) that was constrained by the evolutionary history of the species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the different taxonomic groups (i.e., genera and subfamily level; Figure S1; Figure 1A).</w:t>
      </w:r>
    </w:p>
    <w:bookmarkEnd w:id="28"/>
    <w:bookmarkStart w:id="29" w:name="b-habitat-preferences"/>
    <w:p>
      <w:pPr>
        <w:pStyle w:val="Heading2"/>
      </w:pPr>
      <w:r>
        <w:t xml:space="preserve">(b) Habitat preferences</w:t>
      </w:r>
    </w:p>
    <w:p>
      <w:pPr>
        <w:pStyle w:val="FirstParagraph"/>
      </w:pPr>
      <w:r>
        <w:t xml:space="preserve">We downloaded occurrence information for all the measured species from the Global Biodiversity Information Facility (GBIF;</w:t>
      </w:r>
      <w:r>
        <w:t xml:space="preserve"> </w:t>
      </w:r>
      <w:hyperlink r:id="rId26">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S2A), covering an approximate area of 136,937 km</w:t>
      </w:r>
      <m:oMath>
        <m:sSup>
          <m:e>
            <m:r>
              <m:t>​</m:t>
            </m:r>
          </m:e>
          <m:sup>
            <m:r>
              <m:t>2</m:t>
            </m:r>
          </m:sup>
        </m:sSup>
      </m:oMath>
      <w:r>
        <w:t xml:space="preserve">. For Europe, we selected countries located on the north and centre of the continent (Figure S2B), representing a total area of 600,497 km</w:t>
      </w:r>
      <m:oMath>
        <m:sSup>
          <m:e>
            <m:r>
              <m:t>​</m:t>
            </m:r>
          </m:e>
          <m:sup>
            <m:r>
              <m:t>2</m:t>
            </m:r>
          </m:sup>
        </m:sSup>
      </m:oMath>
      <w:r>
        <w:t xml:space="preserve">. To further reduce biases in the data, we only included species with a minimum number of 50 records and whose geographic distribution was larger than the sampled area (i.e., excluding species at the edge of their distributions). In addition, we optimised the match between species occurrence and the land cover data by only using georeferenced records obtained between 1990 and 2022 with a minimum of two decimals of latitude/longitude coordinates.</w:t>
      </w:r>
    </w:p>
    <w:p>
      <w:pPr>
        <w:pStyle w:val="BodyText"/>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 With this information we can build an occurrence matrix with species in rows, habitats in columns, and cells depicting the number of occurrences per species-habitat combination.</w:t>
      </w:r>
    </w:p>
    <w:p>
      <w:pPr>
        <w:pStyle w:val="BodyText"/>
      </w:pPr>
      <w:r>
        <w:t xml:space="preserve">Habitat preferences were estimated by assessing whether the occurrences of species in a given habitat were more frequent than expected by chance. For this, we generated 10,000 randomised matrices based on the occurrence matrix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preference</w:t>
      </w:r>
      <w:r>
        <w:t xml:space="preserve">”</w:t>
      </w:r>
      <w:r>
        <w:t xml:space="preserve"> </w:t>
      </w:r>
      <w:r>
        <w:t xml:space="preserve">for any of the three studied habitats when the number of occurrences observed in this habitat exceeded the 80th percentile of the values obtained from the simulations. On the contrary, the species was considered to exhibit</w:t>
      </w:r>
      <w:r>
        <w:t xml:space="preserve"> </w:t>
      </w:r>
      <w:r>
        <w:t xml:space="preserve">“</w:t>
      </w:r>
      <w:r>
        <w:t xml:space="preserve">low preference or avoidance</w:t>
      </w:r>
      <w:r>
        <w:t xml:space="preserve">”</w:t>
      </w:r>
      <w:r>
        <w:t xml:space="preserve"> </w:t>
      </w:r>
      <w:r>
        <w:t xml:space="preserve">for the habitat when the observed occurrences were below the 20th percentile. To better understand if our findings are affected by the evolutionary histories of the species, we estimated the phylogenetic signal of relative brain size and habitat preference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bookmarkEnd w:id="29"/>
    <w:bookmarkStart w:id="30" w:name="d-analysis"/>
    <w:p>
      <w:pPr>
        <w:pStyle w:val="Heading2"/>
      </w:pPr>
      <w:r>
        <w:t xml:space="preserve">(d) Analysis</w:t>
      </w:r>
    </w:p>
    <w:p>
      <w:pPr>
        <w:pStyle w:val="FirstParagraph"/>
      </w:pPr>
      <w:r>
        <w:t xml:space="preserve">To evaluate how the association between habitat preference and relative brain size changed by habitat type, we modelled with Bayesian generalised linear models their association. For this, we first joined the resulting habitat preference and relative brain size datasets by species. The resulting distribution of habitat preferences for each of the habitats analysed followed a zero-one inflated beta distribution (Figure S3), indicating that there were high frequencies of habitat preferences close to 0 or 1 but low frequencies of intermediate values between 0 and 1. Hence, in our analyses we take a conservative approach and only modelled the extremes of the distribution (i.e., species classified as avoiding or preferring a given habitat). Because we assessed habitat preference as binary (</w:t>
      </w:r>
      <w:r>
        <w:t xml:space="preserve">“</w:t>
      </w:r>
      <w:r>
        <w:t xml:space="preserve">avoiding</w:t>
      </w:r>
      <w:r>
        <w:t xml:space="preserve">”</w:t>
      </w:r>
      <w:r>
        <w:t xml:space="preserve"> </w:t>
      </w:r>
      <w:r>
        <w:t xml:space="preserve">or</w:t>
      </w:r>
      <w:r>
        <w:t xml:space="preserve"> </w:t>
      </w:r>
      <w:r>
        <w:t xml:space="preserve">“</w:t>
      </w:r>
      <w:r>
        <w:t xml:space="preserve">preferring</w:t>
      </w:r>
      <w:r>
        <w:t xml:space="preserve">”</w:t>
      </w:r>
      <w:r>
        <w:t xml:space="preserve">), we specified a Bernouilli distribution where habitat preference was the response variable and relative brain size the predictor. Again, we included the phylogenetic covariance matrix as a random factor. Moreover, we also explored how habitat preference changed by brain weight and intertegular span independently. For this, we conducted two analogous models with these two different predictors. In addition, we also investigated the different trends for the United States and Europe separately.</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30"/>
    <w:bookmarkEnd w:id="31"/>
    <w:bookmarkStart w:id="38" w:name="results"/>
    <w:p>
      <w:pPr>
        <w:pStyle w:val="Heading1"/>
      </w:pPr>
      <w:r>
        <w:t xml:space="preserve">3. Results</w:t>
      </w:r>
    </w:p>
    <w:p>
      <w:pPr>
        <w:pStyle w:val="FirstParagraph"/>
      </w:pPr>
      <w:r>
        <w:t xml:space="preserve">Habitat preference varied substantially across species (Figure 1B) and showed moderate phylogenetic signal (i.e., preference for natural habitat;</w:t>
      </w:r>
      <w:r>
        <w:t xml:space="preserve">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indistinctly in the three habitats (Figure 1B). The most preferred habitats were the agricultural and natural ones with 49 and 48 species over 80% of the values from null models, respectively (Figure 1B and Figure S3). In contrast, most species avoided urban habitats (56 species under the 20th percentile) and just 28 species showed high preference for this habitat type (Figure 1B and Figure S3).</w:t>
      </w:r>
    </w:p>
    <w:p>
      <w:pPr>
        <w:pStyle w:val="CaptionedFigure"/>
      </w:pPr>
      <w:r>
        <w:drawing>
          <wp:inline>
            <wp:extent cx="5334000" cy="5334000"/>
            <wp:effectExtent b="0" l="0" r="0" t="0"/>
            <wp:docPr descr="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and urban) and the rows the different bee species." title="" id="33" name="Picture"/>
            <a:graphic>
              <a:graphicData uri="http://schemas.openxmlformats.org/drawingml/2006/picture">
                <pic:pic>
                  <pic:nvPicPr>
                    <pic:cNvPr descr="Ms_files/figure-docx/unnamed-chunk-2-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indicated with weighted points at the end of the tip branches. Larger points indicate larger brains in proportion to their body size and vice versa. B) Heatmap showing the habitat preference for each bee species. The columns delimit the habitat type (i.e., natural, agricultural and urban) and the rows the different bee species.</w:t>
      </w:r>
    </w:p>
    <w:p>
      <w:pPr>
        <w:pStyle w:val="BodyText"/>
      </w:pPr>
      <w:r>
        <w:t xml:space="preserve">We found that bee species relative brain size is associated with the habitat type preference (Figure 2A; Bayesian R</w:t>
      </w:r>
      <m:oMath>
        <m:sSup>
          <m:e>
            <m:r>
              <m:t>​</m:t>
            </m:r>
          </m:e>
          <m:sup>
            <m:r>
              <m:t>2</m:t>
            </m:r>
          </m:sup>
        </m:sSup>
      </m:oMath>
      <w:r>
        <w:t xml:space="preserve"> </w:t>
      </w:r>
      <w:r>
        <w:t xml:space="preserve">= 0.11). Specifically, we found that bees with larger brains relative to body size showed a higher preference for urban habitats than bees with smaller relative brain sizes (Figure 2A). Contrarily, bees with smaller relative brains showed higher preference in natural and agricultural habitats than bees with larger relative brain sizes (Figure 2A). The models of the association between absolute brain size and intertegular span with habitat preference also showed a marked differences between habitat types (Figures 2B and 2C;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Specifically, we found that bees with larger brains and body sizes tend to appear more in urban habitats and bees with smaller brains and body sizes are more common in natural and agricultural ones (Figures 2B and 2C). These findings were consistent with the analogous analyses separated by geographical regions (United States and Europe; Figure S4).</w:t>
      </w:r>
    </w:p>
    <w:p>
      <w:pPr>
        <w:pStyle w:val="CaptionedFigure"/>
      </w:pPr>
      <w:r>
        <w:drawing>
          <wp:inline>
            <wp:extent cx="5334000" cy="3200400"/>
            <wp:effectExtent b="0" l="0" r="0" t="0"/>
            <wp:docPr descr="Figure 2. Association between relative brain size (A), brain weight (B) and intertegular distance (C) with habitat preference by habitat type (i.e., natural, agricultural and urban). The shaded and coloured areas by habitat type represent 95% credible intervals." title="" id="36" name="Picture"/>
            <a:graphic>
              <a:graphicData uri="http://schemas.openxmlformats.org/drawingml/2006/picture">
                <pic:pic>
                  <pic:nvPicPr>
                    <pic:cNvPr descr="Ms_files/figure-docx/unnamed-chunk-3-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Association between relative brain size (A), brain weight (B) and intertegular distance (C) with habitat preference by habitat type (i.e., natural, agricultural and urban). The shaded and coloured areas by habitat type represent 95% credible intervals.</w:t>
      </w:r>
    </w:p>
    <w:bookmarkEnd w:id="38"/>
    <w:bookmarkStart w:id="39" w:name="discussion"/>
    <w:p>
      <w:pPr>
        <w:pStyle w:val="Heading1"/>
      </w:pPr>
      <w:r>
        <w:t xml:space="preserve">4. Discussion</w:t>
      </w:r>
    </w:p>
    <w:p>
      <w:pPr>
        <w:pStyle w:val="FirstParagraph"/>
      </w:pPr>
      <w:r>
        <w:t xml:space="preserve">Using data from two different continents and 89 bee species, we find that bees with a preference for inhabiting urban habitats tended to have larger brains relative to their body while those with forest or agricultural preferences had relatively smaller brains. These results are in line with the cognitive buffer hypothesis</w:t>
      </w:r>
      <w:r>
        <w:t xml:space="preserve"> </w:t>
      </w:r>
      <w:r>
        <w:t xml:space="preserve">[</w:t>
      </w:r>
      <w:hyperlink w:anchor="ref-sol2009">
        <w:r>
          <w:rPr>
            <w:rStyle w:val="Hyperlink"/>
          </w:rPr>
          <w:t xml:space="preserve">16</w:t>
        </w:r>
      </w:hyperlink>
      <w:r>
        <w:t xml:space="preserve">]</w:t>
      </w:r>
      <w:r>
        <w:t xml:space="preserve">, which predicts that a large relative brain should provide enhanced behavioural plasticity to persist and thrive in novel environments. In urban environments, individuals are frequently exposed to a variety of new challenges such as novel resources or human disturbances that can change fast in time and space</w:t>
      </w:r>
      <w:r>
        <w:t xml:space="preserve"> </w:t>
      </w:r>
      <w:r>
        <w:t xml:space="preserve">[</w:t>
      </w:r>
      <w:hyperlink w:anchor="ref-wheater2002">
        <w:r>
          <w:rPr>
            <w:rStyle w:val="Hyperlink"/>
          </w:rPr>
          <w:t xml:space="preserve">42</w:t>
        </w:r>
      </w:hyperlink>
      <w:r>
        <w:t xml:space="preserve">]</w:t>
      </w:r>
      <w:r>
        <w:t xml:space="preserve">. In such scenarios, a large brain could confer the cognitive flexibility needed to efficiently exploit novel resources while avoiding risks. While the exact mechanisms are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need to collect pollen and nectar from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Also in line with the cognitive buffer hypothesis</w:t>
      </w:r>
      <w:r>
        <w:t xml:space="preserve"> </w:t>
      </w:r>
      <w:r>
        <w:t xml:space="preserve">[</w:t>
      </w:r>
      <w:hyperlink w:anchor="ref-ducatez2020">
        <w:r>
          <w:rPr>
            <w:rStyle w:val="Hyperlink"/>
          </w:rPr>
          <w:t xml:space="preserve">45</w:t>
        </w:r>
      </w:hyperlink>
      <w:r>
        <w:t xml:space="preserve">]</w:t>
      </w:r>
      <w:r>
        <w:t xml:space="preserve">, we find that bees that proliferate in urban habitats have bigger bodies and larger absolute brains. Larger species require longer development times and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For example, the large carpenter bees of the genus</w:t>
      </w:r>
      <w:r>
        <w:t xml:space="preserve"> </w:t>
      </w:r>
      <w:r>
        <w:rPr>
          <w:iCs/>
          <w:i/>
        </w:rPr>
        <w:t xml:space="preserve">Xylocopa</w:t>
      </w:r>
      <w:r>
        <w:t xml:space="preserve"> </w:t>
      </w:r>
      <w:r>
        <w:t xml:space="preserve">can live up to two years and are frequent urban dwellers, while small</w:t>
      </w:r>
      <w:r>
        <w:t xml:space="preserve"> </w:t>
      </w:r>
      <w:r>
        <w:rPr>
          <w:iCs/>
          <w:i/>
        </w:rPr>
        <w:t xml:space="preserve">Andrena</w:t>
      </w:r>
      <w:r>
        <w:t xml:space="preserve"> </w:t>
      </w:r>
      <w:r>
        <w:t xml:space="preserve">forest specialists complete their adult life cycle in a few weeks. The patchiness of urban resources also seems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 Further understanding all these processes represent an important avenue of future research.</w:t>
      </w:r>
    </w:p>
    <w:p>
      <w:pPr>
        <w:pStyle w:val="BodyText"/>
      </w:pPr>
      <w:r>
        <w:t xml:space="preserve">Overall, our findings support and expand previous evidence found in vertebrates that having a large brain size can allow survival in novel environments</w:t>
      </w:r>
      <w:r>
        <w:t xml:space="preserve"> </w:t>
      </w:r>
      <w:r>
        <w:t xml:space="preserve">[</w:t>
      </w:r>
      <w:hyperlink w:anchor="ref-santini2019">
        <w:r>
          <w:rPr>
            <w:rStyle w:val="Hyperlink"/>
          </w:rPr>
          <w:t xml:space="preserve">52</w:t>
        </w:r>
      </w:hyperlink>
      <w:r>
        <w:t xml:space="preserve">,</w:t>
      </w:r>
      <w:hyperlink w:anchor="ref-sayol2020b">
        <w:r>
          <w:rPr>
            <w:rStyle w:val="Hyperlink"/>
          </w:rPr>
          <w:t xml:space="preserve">53</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Our analyses focused on brain size mainly for reasons of data availability. The use of brain size is justified by the existence of previous evidence that enlarged brains enhance cognitive performance in bees</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Although the use in the future of finer measures like neuropils size or mushroom bodies</w:t>
      </w:r>
      <w:r>
        <w:t xml:space="preserve"> </w:t>
      </w:r>
      <w:r>
        <w:t xml:space="preserve">[the suspected centres of cognitive processes in bees;</w:t>
      </w:r>
      <w:r>
        <w:t xml:space="preserve"> </w:t>
      </w:r>
      <w:hyperlink w:anchor="ref-barth1997">
        <w:r>
          <w:rPr>
            <w:rStyle w:val="Hyperlink"/>
          </w:rPr>
          <w:t xml:space="preserve">55</w:t>
        </w:r>
      </w:hyperlink>
      <w:r>
        <w:t xml:space="preserve">,</w:t>
      </w:r>
      <w:hyperlink w:anchor="ref-withers1995">
        <w:r>
          <w:rPr>
            <w:rStyle w:val="Hyperlink"/>
          </w:rPr>
          <w:t xml:space="preserve">56</w:t>
        </w:r>
      </w:hyperlink>
      <w:r>
        <w:t xml:space="preserve">,</w:t>
      </w:r>
      <w:hyperlink w:anchor="ref-fahrbach1995">
        <w:r>
          <w:rPr>
            <w:rStyle w:val="Hyperlink"/>
          </w:rPr>
          <w:t xml:space="preserve">57</w:t>
        </w:r>
      </w:hyperlink>
      <w:r>
        <w:t xml:space="preserve">]</w:t>
      </w:r>
      <w:r>
        <w:t xml:space="preserve"> </w:t>
      </w:r>
      <w:r>
        <w:t xml:space="preserve">is likely to help improve our understanding of bee cognitive abilities. Our findings highlight the importance of behavioural responses for understanding the dynamics of insect populations in altered environments and stresses the need to avoid viewing them as passive agents of external pressures.</w:t>
      </w:r>
    </w:p>
    <w:bookmarkEnd w:id="39"/>
    <w:bookmarkStart w:id="43" w:name="data-accessibility"/>
    <w:p>
      <w:pPr>
        <w:pStyle w:val="Heading1"/>
      </w:pPr>
      <w:r>
        <w:t xml:space="preserve">Data accessibility</w:t>
      </w:r>
    </w:p>
    <w:p>
      <w:pPr>
        <w:pStyle w:val="FirstParagraph"/>
      </w:pPr>
      <w:r>
        <w:t xml:space="preserve">All occurrence data used in this study can be downloaded from</w:t>
      </w:r>
      <w:r>
        <w:t xml:space="preserve"> </w:t>
      </w:r>
      <w:hyperlink r:id="rId40">
        <w:r>
          <w:rPr>
            <w:rStyle w:val="Hyperlink"/>
          </w:rPr>
          <w:t xml:space="preserve">https://doi.org/10.15468/dl.5s5kuf</w:t>
        </w:r>
      </w:hyperlink>
      <w:r>
        <w:t xml:space="preserve">. In addition, bee trait data and code can be found in the online repositories of Zenodo</w:t>
      </w:r>
      <w:r>
        <w:t xml:space="preserve"> </w:t>
      </w:r>
      <w:hyperlink r:id="rId41">
        <w:r>
          <w:rPr>
            <w:rStyle w:val="Hyperlink"/>
          </w:rPr>
          <w:t xml:space="preserve">https://doi.org/10.5281/zenodo.8049996</w:t>
        </w:r>
      </w:hyperlink>
      <w:r>
        <w:t xml:space="preserve"> </w:t>
      </w:r>
      <w:r>
        <w:t xml:space="preserve">and Github</w:t>
      </w:r>
      <w:r>
        <w:t xml:space="preserve"> </w:t>
      </w:r>
      <w:hyperlink r:id="rId42">
        <w:r>
          <w:rPr>
            <w:rStyle w:val="Hyperlink"/>
          </w:rPr>
          <w:t xml:space="preserve">https://github.com/ibartomeus/declines_brain.git</w:t>
        </w:r>
      </w:hyperlink>
      <w:r>
        <w:t xml:space="preserve">.</w:t>
      </w:r>
    </w:p>
    <w:bookmarkEnd w:id="43"/>
    <w:bookmarkStart w:id="44" w:name="authors-contributions"/>
    <w:p>
      <w:pPr>
        <w:pStyle w:val="Heading1"/>
      </w:pPr>
      <w:r>
        <w:t xml:space="preserve">Authors’ contributions</w:t>
      </w:r>
    </w:p>
    <w:p>
      <w:pPr>
        <w:pStyle w:val="FirstParagraph"/>
      </w:pPr>
      <w:r>
        <w:t xml:space="preserve">IB, MAC and JBL designed the study. MAC and FS collected the data. JBL led the analysis with help from MAC and IB. JBL and IB wrote the manuscript with contributions from all authors.</w:t>
      </w:r>
    </w:p>
    <w:bookmarkEnd w:id="44"/>
    <w:bookmarkStart w:id="45" w:name="funding"/>
    <w:p>
      <w:pPr>
        <w:pStyle w:val="Heading1"/>
      </w:pPr>
      <w:r>
        <w:t xml:space="preserve">Funding</w:t>
      </w:r>
    </w:p>
    <w:p>
      <w:pPr>
        <w:pStyle w:val="FirstParagraph"/>
      </w:pPr>
      <w:r>
        <w:t xml:space="preserve">Ministerio de Economía y Competitividad, Gobierno de España, Grant/Award Number: CGL2013-47448-P.</w:t>
      </w:r>
    </w:p>
    <w:bookmarkEnd w:id="45"/>
    <w:bookmarkStart w:id="46" w:name="acknowledgements"/>
    <w:p>
      <w:pPr>
        <w:pStyle w:val="Heading1"/>
      </w:pPr>
      <w:r>
        <w:t xml:space="preserve">Acknowledgements</w:t>
      </w:r>
    </w:p>
    <w:p>
      <w:pPr>
        <w:pStyle w:val="FirstParagraph"/>
      </w:pPr>
      <w:r>
        <w:t xml:space="preserve">We thank Curro Molina, Ivo Reamakers and Parker Gambino for collecting some of the studies specimens.</w:t>
      </w:r>
    </w:p>
    <w:bookmarkEnd w:id="46"/>
    <w:bookmarkStart w:id="47"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7"/>
    <w:bookmarkStart w:id="107" w:name="references"/>
    <w:p>
      <w:pPr>
        <w:pStyle w:val="Heading1"/>
      </w:pPr>
      <w:r>
        <w:t xml:space="preserve">References</w:t>
      </w:r>
    </w:p>
    <w:bookmarkStart w:id="106" w:name="refs"/>
    <w:bookmarkStart w:id="48"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8"/>
    <w:bookmarkStart w:id="49"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49"/>
    <w:bookmarkStart w:id="50"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50"/>
    <w:bookmarkStart w:id="51"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51"/>
    <w:bookmarkStart w:id="52"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52"/>
    <w:bookmarkStart w:id="53"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53"/>
    <w:bookmarkStart w:id="54"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54"/>
    <w:bookmarkStart w:id="55"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5"/>
    <w:bookmarkStart w:id="56"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6"/>
    <w:bookmarkStart w:id="57"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7"/>
    <w:bookmarkStart w:id="58"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8"/>
    <w:bookmarkStart w:id="59"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59"/>
    <w:bookmarkStart w:id="60"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 In</w:t>
      </w:r>
      <w:r>
        <w:t xml:space="preserve"> </w:t>
      </w:r>
      <w:r>
        <w:rPr>
          <w:iCs/>
          <w:i/>
        </w:rPr>
        <w:t xml:space="preserve">Annales de la soci</w:t>
      </w:r>
      <w:r>
        <w:rPr>
          <w:iCs/>
          <w:i/>
        </w:rPr>
        <w:t xml:space="preserve">é</w:t>
      </w:r>
      <w:r>
        <w:rPr>
          <w:iCs/>
          <w:i/>
        </w:rPr>
        <w:t xml:space="preserve">t</w:t>
      </w:r>
      <w:r>
        <w:rPr>
          <w:iCs/>
          <w:i/>
        </w:rPr>
        <w:t xml:space="preserve">é</w:t>
      </w:r>
      <w:r>
        <w:rPr>
          <w:iCs/>
          <w:i/>
        </w:rPr>
        <w:t xml:space="preserve"> </w:t>
      </w:r>
      <w:r>
        <w:rPr>
          <w:iCs/>
          <w:i/>
        </w:rPr>
        <w:t xml:space="preserve">entomologique de france</w:t>
      </w:r>
      <w:r>
        <w:t xml:space="preserve">, pp. 243–250. Taylor &amp; Francis.</w:t>
      </w:r>
      <w:r>
        <w:t xml:space="preserve"> </w:t>
      </w:r>
    </w:p>
    <w:bookmarkEnd w:id="60"/>
    <w:bookmarkStart w:id="61"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61"/>
    <w:bookmarkStart w:id="62"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62"/>
    <w:bookmarkStart w:id="63" w:name="ref-sol2009"/>
    <w:p>
      <w:pPr>
        <w:pStyle w:val="Bibliography"/>
      </w:pPr>
      <w:r>
        <w:t xml:space="preserve">16.</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63"/>
    <w:bookmarkStart w:id="64" w:name="ref-shettleworth2009"/>
    <w:p>
      <w:pPr>
        <w:pStyle w:val="Bibliography"/>
      </w:pPr>
      <w:r>
        <w:t xml:space="preserve">17.</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64"/>
    <w:bookmarkStart w:id="65"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5"/>
    <w:bookmarkStart w:id="66"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6"/>
    <w:bookmarkStart w:id="67"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7"/>
    <w:bookmarkStart w:id="68"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8"/>
    <w:bookmarkStart w:id="69"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69"/>
    <w:bookmarkStart w:id="70"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70"/>
    <w:bookmarkStart w:id="71"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71"/>
    <w:bookmarkStart w:id="72"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72"/>
    <w:bookmarkStart w:id="73"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73"/>
    <w:bookmarkStart w:id="74"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74"/>
    <w:bookmarkStart w:id="75"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5"/>
    <w:bookmarkStart w:id="76"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6"/>
    <w:bookmarkStart w:id="77"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7"/>
    <w:bookmarkStart w:id="78"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8"/>
    <w:bookmarkStart w:id="79"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79"/>
    <w:bookmarkStart w:id="80"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80"/>
    <w:bookmarkStart w:id="81"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81"/>
    <w:bookmarkStart w:id="82"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82"/>
    <w:bookmarkStart w:id="83"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83"/>
    <w:bookmarkStart w:id="84"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84"/>
    <w:bookmarkStart w:id="85"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5"/>
    <w:bookmarkStart w:id="86"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6"/>
    <w:bookmarkStart w:id="88"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7">
        <w:r>
          <w:rPr>
            <w:rStyle w:val="Hyperlink"/>
          </w:rPr>
          <w:t xml:space="preserve">https://www.R-project.org/</w:t>
        </w:r>
      </w:hyperlink>
      <w:r>
        <w:t xml:space="preserve">.</w:t>
      </w:r>
    </w:p>
    <w:bookmarkEnd w:id="88"/>
    <w:bookmarkStart w:id="89"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w:t>
      </w:r>
    </w:p>
    <w:bookmarkEnd w:id="89"/>
    <w:bookmarkStart w:id="90"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90"/>
    <w:bookmarkStart w:id="91"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91"/>
    <w:bookmarkStart w:id="92"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92"/>
    <w:bookmarkStart w:id="93"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93"/>
    <w:bookmarkStart w:id="94"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4"/>
    <w:bookmarkStart w:id="95"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5"/>
    <w:bookmarkStart w:id="96"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6"/>
    <w:bookmarkStart w:id="97"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7"/>
    <w:bookmarkStart w:id="98"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8"/>
    <w:bookmarkStart w:id="99"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99"/>
    <w:bookmarkStart w:id="100" w:name="ref-santini2019"/>
    <w:p>
      <w:pPr>
        <w:pStyle w:val="Bibliography"/>
      </w:pPr>
      <w:r>
        <w:t xml:space="preserve">52.</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100"/>
    <w:bookmarkStart w:id="101" w:name="ref-sayol2020b"/>
    <w:p>
      <w:pPr>
        <w:pStyle w:val="Bibliography"/>
      </w:pPr>
      <w:r>
        <w:t xml:space="preserve">53.</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101"/>
    <w:bookmarkStart w:id="102" w:name="ref-lihoreau2012"/>
    <w:p>
      <w:pPr>
        <w:pStyle w:val="Bibliography"/>
      </w:pPr>
      <w:r>
        <w:t xml:space="preserve">54.</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102"/>
    <w:bookmarkStart w:id="103" w:name="ref-barth1997"/>
    <w:p>
      <w:pPr>
        <w:pStyle w:val="Bibliography"/>
      </w:pPr>
      <w:r>
        <w:t xml:space="preserve">55.</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103"/>
    <w:bookmarkStart w:id="104" w:name="ref-withers1995"/>
    <w:p>
      <w:pPr>
        <w:pStyle w:val="Bibliography"/>
      </w:pPr>
      <w:r>
        <w:t xml:space="preserve">56.</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4"/>
    <w:bookmarkStart w:id="105" w:name="ref-fahrbach1995"/>
    <w:p>
      <w:pPr>
        <w:pStyle w:val="Bibliography"/>
      </w:pPr>
      <w:r>
        <w:t xml:space="preserve">57.</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6" Target="http://www.gbif.org/" TargetMode="External" /><Relationship Type="http://schemas.openxmlformats.org/officeDocument/2006/relationships/hyperlink" Id="rId40" Target="https://doi.org/10.15468/dl.5s5kuf" TargetMode="External" /><Relationship Type="http://schemas.openxmlformats.org/officeDocument/2006/relationships/hyperlink" Id="rId41" Target="https://doi.org/10.5281/zenodo.8049996" TargetMode="External" /><Relationship Type="http://schemas.openxmlformats.org/officeDocument/2006/relationships/hyperlink" Id="rId42"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 Target="http://www.gbif.org/" TargetMode="External" /><Relationship Type="http://schemas.openxmlformats.org/officeDocument/2006/relationships/hyperlink" Id="rId40" Target="https://doi.org/10.15468/dl.5s5kuf" TargetMode="External" /><Relationship Type="http://schemas.openxmlformats.org/officeDocument/2006/relationships/hyperlink" Id="rId41" Target="https://doi.org/10.5281/zenodo.8049996" TargetMode="External" /><Relationship Type="http://schemas.openxmlformats.org/officeDocument/2006/relationships/hyperlink" Id="rId42"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need larger brains to thrive in urban environments</dc:title>
  <dc:creator/>
  <cp:keywords/>
  <dcterms:created xsi:type="dcterms:W3CDTF">2023-06-24T14:03:37Z</dcterms:created>
  <dcterms:modified xsi:type="dcterms:W3CDTF">2023-06-24T14:03:37Z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link-citations">
    <vt:lpwstr>True</vt:lpwstr>
  </property>
  <property fmtid="{D5CDD505-2E9C-101B-9397-08002B2CF9AE}" pid="8" name="linkcolor">
    <vt:lpwstr>RoyalBlue</vt:lpwstr>
  </property>
  <property fmtid="{D5CDD505-2E9C-101B-9397-08002B2CF9AE}" pid="9" name="output">
    <vt:lpwstr/>
  </property>
  <property fmtid="{D5CDD505-2E9C-101B-9397-08002B2CF9AE}" pid="10" name="urlcolor">
    <vt:lpwstr>RoyalBlue</vt:lpwstr>
  </property>
</Properties>
</file>