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2</m:t>
            </m:r>
          </m:sup>
        </m:sSup>
      </m:oMath>
      <w:r>
        <w:t xml:space="preserve"> </w:t>
      </w:r>
      <w:hyperlink r:id="rId21">
        <w:r>
          <w:rPr>
            <w:rStyle w:val="Hyperlink"/>
          </w:rPr>
          <w:t xml:space="preserve">https://orcid.org/0000-0002-4216-317X</w:t>
        </w:r>
      </w:hyperlink>
      <w:r>
        <w:t xml:space="preserve">, Ferran Sayol</w:t>
      </w:r>
      <m:oMath>
        <m:sSup>
          <m:e>
            <m:r>
              <m:t>​</m:t>
            </m:r>
          </m:e>
          <m:sup>
            <m:r>
              <m:t>3</m:t>
            </m:r>
          </m:sup>
        </m:sSup>
      </m:oMath>
      <w:r>
        <w:t xml:space="preserve"> </w:t>
      </w:r>
      <w:hyperlink r:id="rId22">
        <w:r>
          <w:rPr>
            <w:rStyle w:val="Hyperlink"/>
          </w:rPr>
          <w:t xml:space="preserve">https://orcid.org/0000-0003-3540-7487</w:t>
        </w:r>
      </w:hyperlink>
      <w:r>
        <w:t xml:space="preserve">, Daniel Sol</w:t>
      </w:r>
      <m:oMath>
        <m:sSup>
          <m:e>
            <m:r>
              <m:t>​</m:t>
            </m:r>
          </m:e>
          <m:sup>
            <m:r>
              <m:t>3</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Departamento de Ciencias de la Computación e Inteligencia Artificial, Universidad de Sevilla, Seville, Spain</w:t>
      </w:r>
    </w:p>
    <w:p>
      <w:pPr>
        <w:pStyle w:val="BodyText"/>
      </w:pPr>
      <m:oMath>
        <m:sSup>
          <m:e>
            <m:r>
              <m:t>​</m:t>
            </m:r>
          </m:e>
          <m:sup>
            <m:r>
              <m:t>3</m:t>
            </m:r>
          </m:sup>
        </m:sSup>
      </m:oMath>
      <w:r>
        <w:t xml:space="preserve">Centre for Ecological Research and Forestry Applications (CREAF), Bellaterra, Catalonia, Spain</w:t>
      </w:r>
    </w:p>
    <w:p>
      <w:pPr>
        <w:pStyle w:val="BodyText"/>
      </w:pPr>
      <w:r>
        <w:rPr>
          <w:bCs/>
          <w:b/>
        </w:rPr>
        <w:t xml:space="preserve">Author for correspondence: barragansljose@gmail.com</w:t>
      </w:r>
    </w:p>
    <w:p>
      <w:pPr>
        <w:pStyle w:val="BodyText"/>
      </w:pP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335 individuals from 89 bee species, and evaluated the species-level association between brain size and habitat preferences. Our analyses revealed that bee species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7"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For instance,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[e.g.,</w:t>
      </w:r>
      <w:r>
        <w:t xml:space="preserve"> </w:t>
      </w:r>
      <w:r>
        <w:rPr>
          <w:iCs/>
          <w:i/>
        </w:rPr>
        <w:t xml:space="preserve">Bombus terrestris</w:t>
      </w:r>
      <w:r>
        <w:t xml:space="preserve">;</w:t>
      </w:r>
      <w:r>
        <w:t xml:space="preserve"> </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original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cognition</w:t>
      </w:r>
      <w:r>
        <w:t xml:space="preserve"> </w:t>
      </w:r>
      <w:r>
        <w:t xml:space="preserve">[</w:t>
      </w:r>
      <w:hyperlink w:anchor="ref-sol2009">
        <w:r>
          <w:rPr>
            <w:rStyle w:val="Hyperlink"/>
          </w:rPr>
          <w:t xml:space="preserve">16</w:t>
        </w:r>
      </w:hyperlink>
      <w:r>
        <w:t xml:space="preserve">]</w:t>
      </w:r>
      <w:r>
        <w:t xml:space="preserve">, that is, the processes involved in gathering, storing and reacting to environmental information</w:t>
      </w:r>
      <w:r>
        <w:t xml:space="preserve"> </w:t>
      </w:r>
      <w:r>
        <w:t xml:space="preserve">[</w:t>
      </w:r>
      <w:hyperlink w:anchor="ref-shettleworth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numerous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simple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(GBIF;</w:t>
      </w:r>
      <w:r>
        <w:t xml:space="preserve"> </w:t>
      </w:r>
      <w:hyperlink r:id="rId26">
        <w:r>
          <w:rPr>
            <w:rStyle w:val="Hyperlink"/>
          </w:rPr>
          <w:t xml:space="preserve">http://www.gbif.org/</w:t>
        </w:r>
      </w:hyperlink>
      <w:r>
        <w:t xml:space="preserve">), we characterise habitat preferences for all the species, and use a phylogenetically-informed comparative analysis to assess whether bees that proliferate in human-altered habitats have enlarged brains compared to those that avoid them.</w:t>
      </w:r>
    </w:p>
    <w:bookmarkEnd w:id="27"/>
    <w:bookmarkStart w:id="32" w:name="methods"/>
    <w:p>
      <w:pPr>
        <w:pStyle w:val="Heading1"/>
      </w:pPr>
      <w:r>
        <w:t xml:space="preserve">2. Methods</w:t>
      </w:r>
    </w:p>
    <w:bookmarkStart w:id="28"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(Spain and the Netherlands). These specimens were collected opportunistically mostly in semi-natural habitats. The dataset includes information of 335 female individuals from 89 species that represent 6 families and 31 genera. We only considered female specimens because: (i) they are involved in a greater diversity of tasks than males, and hence are expected to experience greater environmental pressures; and (ii), have brains that are structurally and functionally different from those of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see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and low values denote smaller brains than expected. Our bee dataset showed a strong allometric relationship between brain and body size (Bayesian R</w:t>
      </w:r>
      <m:oMath>
        <m:sSup>
          <m:e>
            <m:r>
              <m:t>​</m:t>
            </m:r>
          </m:e>
          <m:sup>
            <m:r>
              <m:t>2</m:t>
            </m:r>
          </m:sup>
        </m:sSup>
      </m:oMath>
      <w:r>
        <w:t xml:space="preserve"> </w:t>
      </w:r>
      <w:r>
        <w:t xml:space="preserve">= 0.9) that was constrained by the evolutionary history of the species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the different taxonomic groups (i.e., genera and subfamily level; Figure S1; Figure 1A).</w:t>
      </w:r>
    </w:p>
    <w:bookmarkEnd w:id="28"/>
    <w:bookmarkStart w:id="29" w:name="b-diet-specialisation"/>
    <w:p>
      <w:pPr>
        <w:pStyle w:val="Heading2"/>
      </w:pPr>
      <w:r>
        <w:t xml:space="preserve">(b) Diet specialisation</w:t>
      </w:r>
    </w:p>
    <w:p>
      <w:pPr>
        <w:pStyle w:val="FirstParagraph"/>
      </w:pPr>
      <w:r>
        <w:t xml:space="preserve">To ensure diet is not acting as a confounding factor we investigated how diet specialisation is associated with both habitat preference and brain size. For this, we used the diet information collected in</w:t>
      </w:r>
      <w:r>
        <w:t xml:space="preserve"> </w:t>
      </w:r>
      <w:r>
        <w:t xml:space="preserve">[</w:t>
      </w:r>
      <w:hyperlink w:anchor="ref-sayol2020">
        <w:r>
          <w:rPr>
            <w:rStyle w:val="Hyperlink"/>
          </w:rPr>
          <w:t xml:space="preserve">30</w:t>
        </w:r>
      </w:hyperlink>
      <w:r>
        <w:t xml:space="preserve">]</w:t>
      </w:r>
      <w:r>
        <w:t xml:space="preserve"> </w:t>
      </w:r>
      <w:r>
        <w:t xml:space="preserve">and complemented the missing information by using the same online resources used in</w:t>
      </w:r>
      <w:r>
        <w:t xml:space="preserve"> </w:t>
      </w:r>
      <w:r>
        <w:t xml:space="preserve">[</w:t>
      </w:r>
      <w:hyperlink w:anchor="ref-sayol2020">
        <w:r>
          <w:rPr>
            <w:rStyle w:val="Hyperlink"/>
          </w:rPr>
          <w:t xml:space="preserve">30</w:t>
        </w:r>
      </w:hyperlink>
      <w:r>
        <w:t xml:space="preserve">]</w:t>
      </w:r>
      <w:r>
        <w:t xml:space="preserve">. Bee species were classified as oligolectic when they use a single plant family to feed their brood or polylectic when they use several. We tested for statistical differences in diet specialization per habitat type preference and brain size (i.e., both absolute and relative brain size) by using the Wilcoxon test. We found a low number of specialist species in our dataset with no clear associations with habitat preference or brain size that can explain the relationship between habitat preference and brain size (see details in Figure S2).</w:t>
      </w:r>
    </w:p>
    <w:bookmarkEnd w:id="29"/>
    <w:bookmarkStart w:id="30" w:name="c-habitat-preferences"/>
    <w:p>
      <w:pPr>
        <w:pStyle w:val="Heading2"/>
      </w:pPr>
      <w:r>
        <w:t xml:space="preserve">(c) Habitat preferences</w:t>
      </w:r>
    </w:p>
    <w:p>
      <w:pPr>
        <w:pStyle w:val="FirstParagraph"/>
      </w:pPr>
      <w:r>
        <w:t xml:space="preserve">We downloaded occurrence information for all the measured species from the Global Biodiversity Information Facility (GBIF;</w:t>
      </w:r>
      <w:r>
        <w:t xml:space="preserve"> </w:t>
      </w:r>
      <w:hyperlink r:id="rId26">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S3A), covering an approximate area of 136,937 km</w:t>
      </w:r>
      <m:oMath>
        <m:sSup>
          <m:e>
            <m:r>
              <m:t>​</m:t>
            </m:r>
          </m:e>
          <m:sup>
            <m:r>
              <m:t>2</m:t>
            </m:r>
          </m:sup>
        </m:sSup>
      </m:oMath>
      <w:r>
        <w:t xml:space="preserve">. For Europe, we selected countries located on the north and centre of the continent (Figure S3B), representing a total area of 600,497 km</w:t>
      </w:r>
      <m:oMath>
        <m:sSup>
          <m:e>
            <m:r>
              <m:t>​</m:t>
            </m:r>
          </m:e>
          <m:sup>
            <m:r>
              <m:t>2</m:t>
            </m:r>
          </m:sup>
        </m:sSup>
      </m:oMath>
      <w:r>
        <w:t xml:space="preserve">. To further reduce biases in the data, we only included species with a minimum number of 50 records and whose geographic distribution was larger than the sampled area (i.e., excluding species at the edge of their distributions). In addition,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the species was considered to exhibit</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histories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30"/>
    <w:bookmarkStart w:id="31" w:name="d-analysis"/>
    <w:p>
      <w:pPr>
        <w:pStyle w:val="Heading2"/>
      </w:pPr>
      <w:r>
        <w:t xml:space="preserve">(d) Analysis</w:t>
      </w:r>
    </w:p>
    <w:p>
      <w:pPr>
        <w:pStyle w:val="FirstParagraph"/>
      </w:pPr>
      <w:r>
        <w:t xml:space="preserve">To evaluate how the association between habitat preference and relative brain size per species changed by habitat type, we used a Bayessian approach to model their association. For this, we first joined the resulting habitat preferences per species with their respective average relative brain sizes. Note that the intraspecific variation was low for brain and body size in comparison with the interspecific variation (See supplementary text S2 and Figure S4). In addition, the resulting distribution of habitat preferences for each of the habitats analysed followed a zero-one inflated beta distribution (Figure S5),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Again, we included the phylogenetic covariance matrix as a random factor. Moreover, we also explored how habitat preference changed by average brain weight and intertegular span independently. For this, we conducted two analogous models with these two different predictors. In addition, we also investigated the different trends for the United States and Europe separately.</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Habitat preference varied substantially across species (Figure 1B) and showed moderate phylogenetic signal (i.e., preference for natural habitat;</w:t>
      </w:r>
      <w:r>
        <w:t xml:space="preserve">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habitats (Figure 1B). The most preferred habitats were the agricultural and natural ones with 49 and 48 species over 80% of the values from null models, respectively (Figure 1B and Figure S5). In contrast, most species avoided urban habitats (56 species under the 20th percentile) and just 28 species showed high preference for this habitat type (Figure 1B and Figure S5).</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to the residuals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to the residuals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bee species relative brain size is associated with the habitat type preference (Figure 2A; Bayesian R</w:t>
      </w:r>
      <m:oMath>
        <m:sSup>
          <m:e>
            <m:r>
              <m:t>​</m:t>
            </m:r>
          </m:e>
          <m:sup>
            <m:r>
              <m:t>2</m:t>
            </m:r>
          </m:sup>
        </m:sSup>
      </m:oMath>
      <w:r>
        <w:t xml:space="preserve"> </w:t>
      </w:r>
      <w:r>
        <w:t xml:space="preserve">= 0.11). Specifically, we found that bees with larger brains relative to body size showed a higher preference for urban habitats than bees with smaller relative brain sizes (Figure 2A). Contrarily, bee species with smaller relative brains showed higher preference in natural and agricultural habitats than bees with larger relative brain sizes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tend to appear more in urban habitats and bees with smaller brains and body sizes are more common in natural and agricultural ones (Figures 2B and 2C). These findings were consistent with the analogous analyses separated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Using data from two different continents and 89 bee species, we find that bee species with a preference for inhabiting urban habitats tended to have larger brains relative to their body while those with forest or agricultural preferences had relatively smaller brains. These results are in line with the cognitive buffer hypothesis</w:t>
      </w:r>
      <w:r>
        <w:t xml:space="preserve"> </w:t>
      </w:r>
      <w:r>
        <w:t xml:space="preserve">[</w:t>
      </w:r>
      <w:hyperlink w:anchor="ref-sol2009">
        <w:r>
          <w:rPr>
            <w:rStyle w:val="Hyperlink"/>
          </w:rPr>
          <w:t xml:space="preserve">16</w:t>
        </w:r>
      </w:hyperlink>
      <w:r>
        <w:t xml:space="preserve">]</w:t>
      </w:r>
      <w:r>
        <w:t xml:space="preserve">, which predicts that a large relative brain should provide enhanced behavioural plasticity to persist and thrive in novel environments. In urban environments, individuals are frequently exposed to a variety of new challenges such as novel resources or human disturbances that can change fast in time and space</w:t>
      </w:r>
      <w:r>
        <w:t xml:space="preserve"> </w:t>
      </w:r>
      <w:r>
        <w:t xml:space="preserve">[</w:t>
      </w:r>
      <w:hyperlink w:anchor="ref-wheater2002">
        <w:r>
          <w:rPr>
            <w:rStyle w:val="Hyperlink"/>
          </w:rPr>
          <w:t xml:space="preserve">42</w:t>
        </w:r>
      </w:hyperlink>
      <w:r>
        <w:t xml:space="preserve">]</w:t>
      </w:r>
      <w:r>
        <w:t xml:space="preserve">. In such scenarios, a large brain could confer the cognitive flexibility needed to efficiently exploit novel resources while avoiding risks. While the exact mechanisms are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need to collect pollen and nectar from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Also in line with the cognitive buffer hypothesis</w:t>
      </w:r>
      <w:r>
        <w:t xml:space="preserve"> </w:t>
      </w:r>
      <w:r>
        <w:t xml:space="preserve">[</w:t>
      </w:r>
      <w:hyperlink w:anchor="ref-ducatez2020">
        <w:r>
          <w:rPr>
            <w:rStyle w:val="Hyperlink"/>
          </w:rPr>
          <w:t xml:space="preserve">45</w:t>
        </w:r>
      </w:hyperlink>
      <w:r>
        <w:t xml:space="preserve">]</w:t>
      </w:r>
      <w:r>
        <w:t xml:space="preserve">, we find that bees that proliferate in urban habitats have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 Only a few bee specialists are analyzed in this paper, and further understanding how different life styles facilitate urban exploitation represent an important avenue of future research.</w:t>
      </w:r>
    </w:p>
    <w:p>
      <w:pPr>
        <w:pStyle w:val="BodyText"/>
      </w:pPr>
      <w:r>
        <w:t xml:space="preserve">Overall, our findings support and expand previous evidence found in vertebrates that having a large brain size can allow survival in novel environments</w:t>
      </w:r>
      <w:r>
        <w:t xml:space="preserve"> </w:t>
      </w:r>
      <w:r>
        <w:t xml:space="preserve">[</w:t>
      </w:r>
      <w:hyperlink w:anchor="ref-santini2019">
        <w:r>
          <w:rPr>
            <w:rStyle w:val="Hyperlink"/>
          </w:rPr>
          <w:t xml:space="preserve">52</w:t>
        </w:r>
      </w:hyperlink>
      <w:r>
        <w:t xml:space="preserve">,</w:t>
      </w:r>
      <w:hyperlink w:anchor="ref-sayol2020b">
        <w:r>
          <w:rPr>
            <w:rStyle w:val="Hyperlink"/>
          </w:rPr>
          <w:t xml:space="preserve">53</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Our analyses focused on brain size mainly for reasons of data availability. The use of brain size is justified by the existence of previous evidence that enlarged brains enhance some aspects of cognitive performance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54</w:t>
        </w:r>
      </w:hyperlink>
      <w:r>
        <w:t xml:space="preserve">]</w:t>
      </w:r>
      <w:r>
        <w:t xml:space="preserve">. Although the use in the future of finer measures like neuropils size or mushroom bodies</w:t>
      </w:r>
      <w:r>
        <w:t xml:space="preserve"> </w:t>
      </w:r>
      <w:r>
        <w:t xml:space="preserve">[the suspected centres of cognitive processes in bees;</w:t>
      </w:r>
      <w:r>
        <w:t xml:space="preserve"> </w:t>
      </w:r>
      <w:hyperlink w:anchor="ref-barth1997">
        <w:r>
          <w:rPr>
            <w:rStyle w:val="Hyperlink"/>
          </w:rPr>
          <w:t xml:space="preserve">55</w:t>
        </w:r>
      </w:hyperlink>
      <w:r>
        <w:t xml:space="preserve">,</w:t>
      </w:r>
      <w:hyperlink w:anchor="ref-withers1995">
        <w:r>
          <w:rPr>
            <w:rStyle w:val="Hyperlink"/>
          </w:rPr>
          <w:t xml:space="preserve">56</w:t>
        </w:r>
      </w:hyperlink>
      <w:r>
        <w:t xml:space="preserve">,</w:t>
      </w:r>
      <w:hyperlink w:anchor="ref-fahrbach1995">
        <w:r>
          <w:rPr>
            <w:rStyle w:val="Hyperlink"/>
          </w:rPr>
          <w:t xml:space="preserve">57</w:t>
        </w:r>
      </w:hyperlink>
      <w:r>
        <w:t xml:space="preserve">]</w:t>
      </w:r>
      <w:r>
        <w:t xml:space="preserve"> </w:t>
      </w:r>
      <w:r>
        <w:t xml:space="preserve">is likely to help improve our understanding of bee cognitive abilities. Further, there are other alternative explanations beyond the cognitive buffer hypothesis for the enlargement of brains in urban environments. Here, we only investigated the role of diet specialisation as a potential confounding factor but other ecological and physiological factors cannot be discarded as potential drivers of this pattern. Downscaling our analysis to the individual specimen level where brain size, habitat use and cognitive performance can be tracked through their lifespan would be a challenging but promising next step. Overall, our findings highlight the importance of behavioural responses for understanding the dynamics of insect populations in altered environments and stresses the need to avoid viewing them as passive agents of external pressures.</w:t>
      </w:r>
    </w:p>
    <w:bookmarkEnd w:id="40"/>
    <w:bookmarkStart w:id="44" w:name="data-accessibility"/>
    <w:p>
      <w:pPr>
        <w:pStyle w:val="Heading1"/>
      </w:pPr>
      <w:r>
        <w:t xml:space="preserve">Data accessibility</w:t>
      </w:r>
    </w:p>
    <w:p>
      <w:pPr>
        <w:pStyle w:val="FirstParagraph"/>
      </w:pPr>
      <w:r>
        <w:t xml:space="preserve">All occurrence data used in this study can be downloaded from</w:t>
      </w:r>
      <w:r>
        <w:t xml:space="preserve"> </w:t>
      </w:r>
      <w:hyperlink r:id="rId41">
        <w:r>
          <w:rPr>
            <w:rStyle w:val="Hyperlink"/>
          </w:rPr>
          <w:t xml:space="preserve">https://doi.org/10.15468/dl.5s5kuf</w:t>
        </w:r>
      </w:hyperlink>
      <w:r>
        <w:t xml:space="preserve">. In addition, bee trait data and code can be found in the online repositories of Zenodo</w:t>
      </w:r>
      <w:r>
        <w:t xml:space="preserve"> </w:t>
      </w:r>
      <w:hyperlink r:id="rId42">
        <w:r>
          <w:rPr>
            <w:rStyle w:val="Hyperlink"/>
          </w:rPr>
          <w:t xml:space="preserve">https://doi.org/10.5281/zenodo.8049996</w:t>
        </w:r>
      </w:hyperlink>
      <w:r>
        <w:t xml:space="preserve"> </w:t>
      </w:r>
      <w:r>
        <w:t xml:space="preserve">and Github</w:t>
      </w:r>
      <w:r>
        <w:t xml:space="preserve"> </w:t>
      </w:r>
      <w:hyperlink r:id="rId43">
        <w:r>
          <w:rPr>
            <w:rStyle w:val="Hyperlink"/>
          </w:rPr>
          <w:t xml:space="preserve">https://github.com/ibartomeus/declines_brain.git</w:t>
        </w:r>
      </w:hyperlink>
      <w:r>
        <w:t xml:space="preserve">.</w:t>
      </w:r>
    </w:p>
    <w:bookmarkEnd w:id="44"/>
    <w:bookmarkStart w:id="45" w:name="authors-contributions"/>
    <w:p>
      <w:pPr>
        <w:pStyle w:val="Heading1"/>
      </w:pPr>
      <w:r>
        <w:t xml:space="preserve">Authors’ contributions</w:t>
      </w:r>
    </w:p>
    <w:p>
      <w:pPr>
        <w:pStyle w:val="FirstParagraph"/>
      </w:pPr>
      <w:r>
        <w:t xml:space="preserve">IB, MAC and JBL designed the study. MAC and FS collected the data. JBL led the analysis with help from MAC and IB. JBL and IB wrote the manuscript with contributions from all authors.</w:t>
      </w:r>
    </w:p>
    <w:bookmarkEnd w:id="45"/>
    <w:bookmarkStart w:id="46" w:name="funding"/>
    <w:p>
      <w:pPr>
        <w:pStyle w:val="Heading1"/>
      </w:pPr>
      <w:r>
        <w:t xml:space="preserve">Funding</w:t>
      </w:r>
    </w:p>
    <w:p>
      <w:pPr>
        <w:pStyle w:val="FirstParagraph"/>
      </w:pPr>
      <w:r>
        <w:t xml:space="preserve">Ministerio de Economía y Competitividad, Gobierno de España, Grant/Award Number: CGL2013-47448-P.</w:t>
      </w:r>
    </w:p>
    <w:bookmarkEnd w:id="46"/>
    <w:bookmarkStart w:id="47" w:name="acknowledgements"/>
    <w:p>
      <w:pPr>
        <w:pStyle w:val="Heading1"/>
      </w:pPr>
      <w:r>
        <w:t xml:space="preserve">Acknowledgements</w:t>
      </w:r>
    </w:p>
    <w:p>
      <w:pPr>
        <w:pStyle w:val="FirstParagraph"/>
      </w:pPr>
      <w:r>
        <w:t xml:space="preserve">We thank Fransico P. Molina, Ivo Reamakers and Parker Gambino for collecting some of the studies specimens.</w:t>
      </w:r>
    </w:p>
    <w:bookmarkEnd w:id="47"/>
    <w:bookmarkStart w:id="48"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8"/>
    <w:bookmarkStart w:id="108" w:name="references"/>
    <w:p>
      <w:pPr>
        <w:pStyle w:val="Heading1"/>
      </w:pPr>
      <w:r>
        <w:t xml:space="preserve">References</w:t>
      </w:r>
    </w:p>
    <w:bookmarkStart w:id="107" w:name="refs"/>
    <w:bookmarkStart w:id="49"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9"/>
    <w:bookmarkStart w:id="50"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50"/>
    <w:bookmarkStart w:id="51"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51"/>
    <w:bookmarkStart w:id="52"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2"/>
    <w:bookmarkStart w:id="53"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3"/>
    <w:bookmarkStart w:id="54"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4"/>
    <w:bookmarkStart w:id="55"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5"/>
    <w:bookmarkStart w:id="56"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6"/>
    <w:bookmarkStart w:id="57"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7"/>
    <w:bookmarkStart w:id="58"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8"/>
    <w:bookmarkStart w:id="59"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9"/>
    <w:bookmarkStart w:id="60"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60"/>
    <w:bookmarkStart w:id="61"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 In</w:t>
      </w:r>
      <w:r>
        <w:t xml:space="preserve"> </w:t>
      </w:r>
      <w:r>
        <w:rPr>
          <w:iCs/>
          <w:i/>
        </w:rPr>
        <w:t xml:space="preserve">Annales de la soci</w:t>
      </w:r>
      <w:r>
        <w:rPr>
          <w:iCs/>
          <w:i/>
        </w:rPr>
        <w:t xml:space="preserve">é</w:t>
      </w:r>
      <w:r>
        <w:rPr>
          <w:iCs/>
          <w:i/>
        </w:rPr>
        <w:t xml:space="preserve">t</w:t>
      </w:r>
      <w:r>
        <w:rPr>
          <w:iCs/>
          <w:i/>
        </w:rPr>
        <w:t xml:space="preserve">é</w:t>
      </w:r>
      <w:r>
        <w:rPr>
          <w:iCs/>
          <w:i/>
        </w:rPr>
        <w:t xml:space="preserve"> </w:t>
      </w:r>
      <w:r>
        <w:rPr>
          <w:iCs/>
          <w:i/>
        </w:rPr>
        <w:t xml:space="preserve">entomologique de france</w:t>
      </w:r>
      <w:r>
        <w:t xml:space="preserve">, pp. 243–250. Taylor &amp; Francis.</w:t>
      </w:r>
      <w:r>
        <w:t xml:space="preserve"> </w:t>
      </w:r>
    </w:p>
    <w:bookmarkEnd w:id="61"/>
    <w:bookmarkStart w:id="62"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2"/>
    <w:bookmarkStart w:id="63"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3"/>
    <w:bookmarkStart w:id="64" w:name="ref-sol2009"/>
    <w:p>
      <w:pPr>
        <w:pStyle w:val="Bibliography"/>
      </w:pPr>
      <w:r>
        <w:t xml:space="preserve">16.</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4"/>
    <w:bookmarkStart w:id="65" w:name="ref-shettleworth2009"/>
    <w:p>
      <w:pPr>
        <w:pStyle w:val="Bibliography"/>
      </w:pPr>
      <w:r>
        <w:t xml:space="preserve">17.</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5"/>
    <w:bookmarkStart w:id="66"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6"/>
    <w:bookmarkStart w:id="67"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7"/>
    <w:bookmarkStart w:id="68"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8"/>
    <w:bookmarkStart w:id="69"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9"/>
    <w:bookmarkStart w:id="70"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70"/>
    <w:bookmarkStart w:id="71"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71"/>
    <w:bookmarkStart w:id="72"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2"/>
    <w:bookmarkStart w:id="73"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3"/>
    <w:bookmarkStart w:id="74"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4"/>
    <w:bookmarkStart w:id="75"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5"/>
    <w:bookmarkStart w:id="76"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6"/>
    <w:bookmarkStart w:id="77"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7"/>
    <w:bookmarkStart w:id="78"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8"/>
    <w:bookmarkStart w:id="79"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9"/>
    <w:bookmarkStart w:id="80"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80"/>
    <w:bookmarkStart w:id="81"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81"/>
    <w:bookmarkStart w:id="82"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2"/>
    <w:bookmarkStart w:id="83"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3"/>
    <w:bookmarkStart w:id="84"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4"/>
    <w:bookmarkStart w:id="85"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5"/>
    <w:bookmarkStart w:id="86"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6"/>
    <w:bookmarkStart w:id="87"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7"/>
    <w:bookmarkStart w:id="89"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8">
        <w:r>
          <w:rPr>
            <w:rStyle w:val="Hyperlink"/>
          </w:rPr>
          <w:t xml:space="preserve">https://www.R-project.org/</w:t>
        </w:r>
      </w:hyperlink>
      <w:r>
        <w:t xml:space="preserve">.</w:t>
      </w:r>
    </w:p>
    <w:bookmarkEnd w:id="89"/>
    <w:bookmarkStart w:id="90"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90"/>
    <w:bookmarkStart w:id="91"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91"/>
    <w:bookmarkStart w:id="92"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2"/>
    <w:bookmarkStart w:id="93"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3"/>
    <w:bookmarkStart w:id="94"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4"/>
    <w:bookmarkStart w:id="95"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5"/>
    <w:bookmarkStart w:id="96"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6"/>
    <w:bookmarkStart w:id="97"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7"/>
    <w:bookmarkStart w:id="98"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8"/>
    <w:bookmarkStart w:id="99"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9"/>
    <w:bookmarkStart w:id="100"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100"/>
    <w:bookmarkStart w:id="101" w:name="ref-santini2019"/>
    <w:p>
      <w:pPr>
        <w:pStyle w:val="Bibliography"/>
      </w:pPr>
      <w:r>
        <w:t xml:space="preserve">52.</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1"/>
    <w:bookmarkStart w:id="102" w:name="ref-sayol2020b"/>
    <w:p>
      <w:pPr>
        <w:pStyle w:val="Bibliography"/>
      </w:pPr>
      <w:r>
        <w:t xml:space="preserve">53.</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2"/>
    <w:bookmarkStart w:id="103" w:name="ref-lihoreau2012"/>
    <w:p>
      <w:pPr>
        <w:pStyle w:val="Bibliography"/>
      </w:pPr>
      <w:r>
        <w:t xml:space="preserve">54.</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3"/>
    <w:bookmarkStart w:id="104" w:name="ref-barth1997"/>
    <w:p>
      <w:pPr>
        <w:pStyle w:val="Bibliography"/>
      </w:pPr>
      <w:r>
        <w:t xml:space="preserve">55.</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4"/>
    <w:bookmarkStart w:id="105" w:name="ref-withers1995"/>
    <w:p>
      <w:pPr>
        <w:pStyle w:val="Bibliography"/>
      </w:pPr>
      <w:r>
        <w:t xml:space="preserve">56.</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5"/>
    <w:bookmarkStart w:id="106" w:name="ref-fahrbach1995"/>
    <w:p>
      <w:pPr>
        <w:pStyle w:val="Bibliography"/>
      </w:pPr>
      <w:r>
        <w:t xml:space="preserve">57.</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6"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 Target="http://www.gbif.org/" TargetMode="External" /><Relationship Type="http://schemas.openxmlformats.org/officeDocument/2006/relationships/hyperlink" Id="rId41" Target="https://doi.org/10.15468/dl.5s5kuf" TargetMode="External" /><Relationship Type="http://schemas.openxmlformats.org/officeDocument/2006/relationships/hyperlink" Id="rId42" Target="https://doi.org/10.5281/zenodo.8049996" TargetMode="External" /><Relationship Type="http://schemas.openxmlformats.org/officeDocument/2006/relationships/hyperlink" Id="rId43" Target="https://github.com/ibartomeus/declines_brain.git"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2023-09-06T21:26:22Z</dcterms:created>
  <dcterms:modified xsi:type="dcterms:W3CDTF">2023-09-06T21:26:22Z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