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Brain</w:t>
      </w:r>
      <w:r>
        <w:t xml:space="preserve"> </w:t>
      </w:r>
      <w:r>
        <w:t xml:space="preserve">size</w:t>
      </w:r>
      <w:r>
        <w:t xml:space="preserve"> </w:t>
      </w:r>
      <w:r>
        <w:t xml:space="preserve">predicts</w:t>
      </w:r>
      <w:r>
        <w:t xml:space="preserve"> </w:t>
      </w:r>
      <w:r>
        <w:t xml:space="preserve">bees’</w:t>
      </w:r>
      <w:r>
        <w:t xml:space="preserve"> </w:t>
      </w:r>
      <w:r>
        <w:t xml:space="preserve">tolerance</w:t>
      </w:r>
      <w:r>
        <w:t xml:space="preserve"> </w:t>
      </w:r>
      <w:r>
        <w:t xml:space="preserve">to</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r>
              <m:rPr>
                <m:sty m:val="p"/>
              </m:rPr>
              <m:t>,</m:t>
            </m:r>
            <m:r>
              <m:t>2</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3</m:t>
            </m:r>
          </m:sup>
        </m:sSup>
      </m:oMath>
      <w:r>
        <w:t xml:space="preserve"> </w:t>
      </w:r>
      <w:hyperlink r:id="rId21">
        <w:r>
          <w:rPr>
            <w:rStyle w:val="Hyperlink"/>
          </w:rPr>
          <w:t xml:space="preserve">https://orcid.org/0000-0002-4216-317X</w:t>
        </w:r>
      </w:hyperlink>
      <w:r>
        <w:t xml:space="preserve">, Ferran Sayol</w:t>
      </w:r>
      <m:oMath>
        <m:sSup>
          <m:e>
            <m:r>
              <m:t>​</m:t>
            </m:r>
          </m:e>
          <m:sup>
            <m:r>
              <m:t>4</m:t>
            </m:r>
          </m:sup>
        </m:sSup>
      </m:oMath>
      <w:r>
        <w:t xml:space="preserve"> </w:t>
      </w:r>
      <w:hyperlink r:id="rId22">
        <w:r>
          <w:rPr>
            <w:rStyle w:val="Hyperlink"/>
          </w:rPr>
          <w:t xml:space="preserve">https://orcid.org/0000-0003-3540-7487</w:t>
        </w:r>
      </w:hyperlink>
      <w:r>
        <w:t xml:space="preserve">, Daniel Sol</w:t>
      </w:r>
      <m:oMath>
        <m:sSup>
          <m:e>
            <m:r>
              <m:t>​</m:t>
            </m:r>
          </m:e>
          <m:sup>
            <m:r>
              <m:t>4</m:t>
            </m:r>
            <m:r>
              <m:rPr>
                <m:sty m:val="p"/>
              </m:rPr>
              <m:t>,</m:t>
            </m:r>
            <m:r>
              <m:t>5</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German Centre for Integrative Biodiversity Research (iDiv) Halle-Jena-Leipzig</w:t>
      </w:r>
    </w:p>
    <w:p>
      <w:pPr>
        <w:pStyle w:val="BodyText"/>
      </w:pPr>
      <m:oMath>
        <m:sSup>
          <m:e>
            <m:r>
              <m:t>​</m:t>
            </m:r>
          </m:e>
          <m:sup>
            <m:r>
              <m:t>3</m:t>
            </m:r>
          </m:sup>
        </m:sSup>
      </m:oMath>
      <w:r>
        <w:t xml:space="preserve">Departamento de Ciencias de la Computación e Inteligencia Artificial, Universidad de Sevilla, Seville, Spain</w:t>
      </w:r>
    </w:p>
    <w:p>
      <w:pPr>
        <w:pStyle w:val="BodyText"/>
      </w:pPr>
      <m:oMath>
        <m:sSup>
          <m:e>
            <m:r>
              <m:t>​</m:t>
            </m:r>
          </m:e>
          <m:sup>
            <m:r>
              <m:t>4</m:t>
            </m:r>
          </m:sup>
        </m:sSup>
      </m:oMath>
      <w:r>
        <w:t xml:space="preserve">Centre for Ecological Research and Forestry Applications (CREAF), Bellaterra, Catalonia, Spain</w:t>
      </w:r>
    </w:p>
    <w:p>
      <w:pPr>
        <w:pStyle w:val="BodyText"/>
      </w:pPr>
      <m:oMath>
        <m:sSup>
          <m:e>
            <m:r>
              <m:t>​</m:t>
            </m:r>
          </m:e>
          <m:sup>
            <m:r>
              <m:t>5</m:t>
            </m:r>
          </m:sup>
        </m:sSup>
      </m:oMath>
      <w:r>
        <w:t xml:space="preserve">CSIC, Spanish National Research Council, CREAF-UAB, Catalonia, Spain</w:t>
      </w:r>
    </w:p>
    <w:p>
      <w:pPr>
        <w:pStyle w:val="BodyText"/>
      </w:pPr>
      <w:r>
        <w:rPr>
          <w:bCs/>
          <w:b/>
        </w:rPr>
        <w:t xml:space="preserve">Author for correspondence: barragansljose@gmail.com</w:t>
      </w: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negative consequences for their fundamental role as plant pollinators. However, not all pollinators are negatively affected by habitat conversion, as certain species find in anthropogenic landscapes appropriate resources to persist and proliferate. The reason why some species tolerate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 size for 89 bee species, and evaluated their association with the degree of habitat occupancy. Our analyses revealed that bee species mainly found in urban habitats had larger brains relative to their body size than those that tend to occur in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occupancy, Apoidea, urbanisation, pollinators</w:t>
      </w:r>
    </w:p>
    <w:bookmarkEnd w:id="25"/>
    <w:bookmarkStart w:id="26"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harrison2019">
        <w:r>
          <w:rPr>
            <w:rStyle w:val="Hyperlink"/>
          </w:rPr>
          <w:t xml:space="preserve">9</w:t>
        </w:r>
      </w:hyperlink>
      <w:r>
        <w:t xml:space="preserve">]</w:t>
      </w:r>
      <w:r>
        <w:t xml:space="preserve">. Yet, not all pollinator species are negatively affected by land use change. Indeed,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 notably cities — drastically modify the ancestral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enhanced cognition to gather, store and plastically react to new information</w:t>
      </w:r>
      <w:r>
        <w:t xml:space="preserve"> </w:t>
      </w:r>
      <w:r>
        <w:t xml:space="preserve">[</w:t>
      </w:r>
      <w:hyperlink w:anchor="ref-shettleworth2009">
        <w:r>
          <w:rPr>
            <w:rStyle w:val="Hyperlink"/>
          </w:rPr>
          <w:t xml:space="preserve">16</w:t>
        </w:r>
      </w:hyperlink>
      <w:r>
        <w:t xml:space="preserve">,</w:t>
      </w:r>
      <w:hyperlink w:anchor="ref-sol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 — both in absolute terms and relative to body size —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dataset of brain measures for 89 European and North American bee species. By means of detailed georeferenced information of species occurrences, we characterise the degree of habitat occupancy for all the species, and use a phylogenetically-informed comparative analysis to assess whether bees that proliferate in human-altered habitats have enlarged brains compared to those that avoid them.</w:t>
      </w:r>
    </w:p>
    <w:bookmarkEnd w:id="26"/>
    <w:bookmarkStart w:id="32" w:name="methods"/>
    <w:p>
      <w:pPr>
        <w:pStyle w:val="Heading1"/>
      </w:pPr>
      <w:r>
        <w:t xml:space="preserve">2. Methods</w:t>
      </w:r>
    </w:p>
    <w:bookmarkStart w:id="27"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Northern Central Europe. These specimens were collected opportunistically mostly in semi-natural habitats. The dataset includes information of 335 female individuals from 89 species that represent 6 families and 31 genera. We considered only female specimens because they engage in a wider variety of tasks, facing greater environmental pressures, and possess distinct brain structures and functions compared to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while low values denote smaller brains. Our bee dataset showed a strong allometric relationship between brain and body size (Bayesian R</w:t>
      </w:r>
      <m:oMath>
        <m:sSup>
          <m:e>
            <m:r>
              <m:t>​</m:t>
            </m:r>
          </m:e>
          <m:sup>
            <m:r>
              <m:t>2</m:t>
            </m:r>
          </m:sup>
        </m:sSup>
      </m:oMath>
      <w:r>
        <w:t xml:space="preserve"> </w:t>
      </w:r>
      <w:r>
        <w:t xml:space="preserve">= 0.9) that was constrained by the species’ evolutionary history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taxonomic groups (Figure S1; Figure 1A).</w:t>
      </w:r>
    </w:p>
    <w:bookmarkEnd w:id="27"/>
    <w:bookmarkStart w:id="29" w:name="b-habitat-occupancy"/>
    <w:p>
      <w:pPr>
        <w:pStyle w:val="Heading2"/>
      </w:pPr>
      <w:r>
        <w:t xml:space="preserve">(b) Habitat occupancy</w:t>
      </w:r>
    </w:p>
    <w:p>
      <w:pPr>
        <w:pStyle w:val="FirstParagraph"/>
      </w:pPr>
      <w:r>
        <w:t xml:space="preserve">We downloaded occurrence information for all the measured species from the Global Biodiversity Information Facility (GBIF;</w:t>
      </w:r>
      <w:r>
        <w:t xml:space="preserve"> </w:t>
      </w:r>
      <w:hyperlink r:id="rId28">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We only included species with a minimum number of 50 records and whose geographic distribution was larger than the sampled area (i.e., excluding species at the edge of their distributions).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The degree of habitat occupancy was estimated by assessing whether the occurrences of species in a given habitat were more frequent than expected by chance. Although previous work has referred to this metric as</w:t>
      </w:r>
      <w:r>
        <w:t xml:space="preserve"> </w:t>
      </w:r>
      <w:r>
        <w:t xml:space="preserve">‘</w:t>
      </w:r>
      <w:r>
        <w:t xml:space="preserve">habitat preference</w:t>
      </w:r>
      <w:r>
        <w:t xml:space="preserve">’</w:t>
      </w:r>
      <w:r>
        <w:t xml:space="preserve"> </w:t>
      </w:r>
      <w:r>
        <w:t xml:space="preserve">[</w:t>
      </w:r>
      <w:hyperlink w:anchor="ref-collado2019">
        <w:r>
          <w:rPr>
            <w:rStyle w:val="Hyperlink"/>
          </w:rPr>
          <w:t xml:space="preserve">12</w:t>
        </w:r>
      </w:hyperlink>
      <w:r>
        <w:t xml:space="preserve">]</w:t>
      </w:r>
      <w:r>
        <w:t xml:space="preserve">, we have opted to use</w:t>
      </w:r>
      <w:r>
        <w:t xml:space="preserve"> </w:t>
      </w:r>
      <w:r>
        <w:t xml:space="preserve">‘</w:t>
      </w:r>
      <w:r>
        <w:t xml:space="preserve">degree of habitat occupancy</w:t>
      </w:r>
      <w:r>
        <w:t xml:space="preserve">’</w:t>
      </w:r>
      <w:r>
        <w:t xml:space="preserve"> </w:t>
      </w:r>
      <w:r>
        <w:t xml:space="preserve">as it avoids the connotation of active choice by the different species. To calculate habitat occupancy,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habitat occupancy</w:t>
      </w:r>
      <w:r>
        <w:t xml:space="preserve">’</w:t>
      </w:r>
      <w:r>
        <w:t xml:space="preserve"> </w:t>
      </w:r>
      <w:r>
        <w:t xml:space="preserve">for any of the three studied habitats when the number of occurrences observed in this habitat exceeded the 80th percentile of the values obtained from the simulations. On the contrary, we considered a</w:t>
      </w:r>
      <w:r>
        <w:t xml:space="preserve"> </w:t>
      </w:r>
      <w:r>
        <w:t xml:space="preserve">‘</w:t>
      </w:r>
      <w:r>
        <w:t xml:space="preserve">low habitat occupancy</w:t>
      </w:r>
      <w:r>
        <w:t xml:space="preserve">’</w:t>
      </w:r>
      <w:r>
        <w:t xml:space="preserve"> </w:t>
      </w:r>
      <w:r>
        <w:t xml:space="preserve">for the habitat when the observed occurrences were below the 20th percentile. To better understand if our findings are affected by the evolutionary history of the species, we estimated the phylogenetic signal of relative brain size and the degree of habitat occupancy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c-diet-specialisation"/>
    <w:p>
      <w:pPr>
        <w:pStyle w:val="Heading2"/>
      </w:pPr>
      <w:r>
        <w:t xml:space="preserve">(c) Diet specialisation</w:t>
      </w:r>
    </w:p>
    <w:p>
      <w:pPr>
        <w:pStyle w:val="FirstParagraph"/>
      </w:pPr>
      <w:r>
        <w:t xml:space="preserve">To ensure diet is not acting as a confounding factor we investigated how diet specialisation is associated with the degree of habitat occupancy and brain size. For this, we used existing diet information</w:t>
      </w:r>
      <w:r>
        <w:t xml:space="preserve"> </w:t>
      </w:r>
      <w:r>
        <w:t xml:space="preserve">[see</w:t>
      </w:r>
      <w:r>
        <w:t xml:space="preserve"> </w:t>
      </w:r>
      <w:hyperlink w:anchor="ref-sayol2020">
        <w:r>
          <w:rPr>
            <w:rStyle w:val="Hyperlink"/>
          </w:rPr>
          <w:t xml:space="preserve">30</w:t>
        </w:r>
      </w:hyperlink>
      <w:r>
        <w:t xml:space="preserve">]</w:t>
      </w:r>
      <w:r>
        <w:t xml:space="preserve">, where bees were classified as oligolectic when they use a single plant family to feed their brood or polylectic when they use several. We tested for statistical differences in diet across the degree of habitat occupancy per habitat type and brain size by using Wilcoxon test. We found a low number of specialist species in our dataset with no clear associations with the degree of habitat occupancy or brain size that can explain the observed relationship between the two (Figure S3).</w:t>
      </w:r>
    </w:p>
    <w:bookmarkEnd w:id="30"/>
    <w:bookmarkStart w:id="31" w:name="d-analysis"/>
    <w:p>
      <w:pPr>
        <w:pStyle w:val="Heading2"/>
      </w:pPr>
      <w:r>
        <w:t xml:space="preserve">(d) Analysis</w:t>
      </w:r>
    </w:p>
    <w:p>
      <w:pPr>
        <w:pStyle w:val="FirstParagraph"/>
      </w:pPr>
      <w:r>
        <w:t xml:space="preserve">To evaluate how the association between the degree of habitat occupancy and relative brain size per species changed by habitat type, we used a Phylogenetic Bayessian approach to model their association. For this, we first joined the resulting values of the degree of habitat occupancy per species with their respective average relative brain sizes. Our macro-ecological approach is justified by: (i) independent data ensuring robust and generalizable ecological patterns and (ii) minimal intraspecific variation in brain and body size compared to interspecific variation (see Supplementary text S2 and Figure S4). The resulting distribution of the degree of habitat occupancy for each of the habitats analysed followed a zero-one inflated beta distribution (Figure S5), indicating that there were high frequencies of habitat occupancy close to 0 or 1 but low frequencies of intermediate values between 0 and 1. In other words, simulated occurrences per species and habitat were consistently lower or higher than the observed ones. Hence, in our analyses we take a conservative approach and only modelled the extremes of the distribution (i.e., species classified as high or low habitat occupancy). Because we assessed the degree of habitat occupancy as binary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we specified a Bernouilli distribution where the degree of habitat occupancy was the response variable and relative brain size the predictor. To control for the shared evolutionary history of the species, we included the phylogenetic covariance matrix as a random factor. Finally, we replicated the analyses for the United States and Europe independently with analogous models.</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The degree of habitat occupancy varied substantially across species (Figure 1B) and showed moderate phylogenetic signal (</w:t>
      </w:r>
      <m:oMath>
        <m:r>
          <m:t>λ</m:t>
        </m:r>
      </m:oMath>
      <w:r>
        <w:t xml:space="preserve"> </w:t>
      </w:r>
      <w:r>
        <w:t xml:space="preserve">= 0.38;</w:t>
      </w:r>
      <w:r>
        <w:t xml:space="preserve"> </w:t>
      </w:r>
      <w:r>
        <w:rPr>
          <w:iCs/>
          <w:i/>
        </w:rPr>
        <w:t xml:space="preserve">P</w:t>
      </w:r>
      <w:r>
        <w:t xml:space="preserve"> </w:t>
      </w:r>
      <w:r>
        <w:t xml:space="preserve">= 0.02). In general, most bee species have high occupancy in one or two habitat types but more rarely occurred indistinctly in the three (Figure 1B). The habitats with the highest occurrences in comparison with random expectations were the agricultural and natural ones, with 49 and 48 species over 80% of the values from null models, respectively (Figure 1B and Figure S5). In contrast, most species showed low degree of occupancy in urban habitats (56 species under the 20th percentile) and just 28 species showed high occupancy in this habitat type (Figure 1B and Figure S5).</w:t>
      </w:r>
    </w:p>
    <w:p>
      <w:pPr>
        <w:pStyle w:val="CaptionedFigure"/>
      </w:pPr>
      <w:r>
        <w:drawing>
          <wp:inline>
            <wp:extent cx="5334000" cy="5334000"/>
            <wp:effectExtent b="0" l="0" r="0" t="0"/>
            <wp:docPr descr="Figure 1. Phylogenetic relationship and degree of habitat occupancy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degree of habitat occupancy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degree of habitat occupancy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degree of habitat occupancy for each bee species. The columns delimit the habitat type (i.e., natural, agricultural and urban) and the rows the different bee species.</w:t>
      </w:r>
    </w:p>
    <w:p>
      <w:pPr>
        <w:pStyle w:val="BodyText"/>
      </w:pPr>
      <w:r>
        <w:t xml:space="preserve">We found that relative brain size was associated with the degree of occupancy across the different habitat types (Figure 2A; Bayesian R</w:t>
      </w:r>
      <m:oMath>
        <m:sSup>
          <m:e>
            <m:r>
              <m:t>​</m:t>
            </m:r>
          </m:e>
          <m:sup>
            <m:r>
              <m:t>2</m:t>
            </m:r>
          </m:sup>
        </m:sSup>
      </m:oMath>
      <w:r>
        <w:t xml:space="preserve"> </w:t>
      </w:r>
      <w:r>
        <w:t xml:space="preserve">= 0.11). Specifically, we found that bees with larger relative brains showed a higher occupancy in urban habitats than bees with smaller ones (Figure 2A). Contrarily, bee species with smaller relative brains showed higher occupancy in natural and agricultural habitats than bees with larger relative brains (Figure 2A). The models of the association between absolute brain size and intertegular span with habitat occupancy also showed a marked difference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appear more in urban habitats and bees with smaller brains and body sizes are more common in natural and agricultural ones (Figures 2B and 2C). These findings were consistent with the analogous analyses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the degree of habitat occupancy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the degree of habitat occupancy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By analysing 89 bee species from two different continents, we observed that bee species inhabiting urban habitats tend to have larger brains relative to their body while those found in forest or agricultural habitats exhibit relatively smaller brains. These results are in line with the cognitive buffer hypothesis</w:t>
      </w:r>
      <w:r>
        <w:t xml:space="preserve"> </w:t>
      </w:r>
      <w:r>
        <w:t xml:space="preserve">[</w:t>
      </w:r>
      <w:hyperlink w:anchor="ref-sol2009">
        <w:r>
          <w:rPr>
            <w:rStyle w:val="Hyperlink"/>
          </w:rPr>
          <w:t xml:space="preserve">17</w:t>
        </w:r>
      </w:hyperlink>
      <w:r>
        <w:t xml:space="preserve">]</w:t>
      </w:r>
      <w:r>
        <w:t xml:space="preserve">, which predicts that a large relative brain should provide enhanced behavioural plasticity to tolerate novel environments. Since urban environments exhibit dynamic challenges, including novel resources and changing human disturbances</w:t>
      </w:r>
      <w:r>
        <w:t xml:space="preserve"> </w:t>
      </w:r>
      <w:r>
        <w:t xml:space="preserve">[</w:t>
      </w:r>
      <w:hyperlink w:anchor="ref-wheater2002">
        <w:r>
          <w:rPr>
            <w:rStyle w:val="Hyperlink"/>
          </w:rPr>
          <w:t xml:space="preserve">42</w:t>
        </w:r>
      </w:hyperlink>
      <w:r>
        <w:t xml:space="preserve">]</w:t>
      </w:r>
      <w:r>
        <w:t xml:space="preserve">, a large brain may provide the cognitive flexibility to exploit these new resources while avoiding risks. Although the exact mechanisms remain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use of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In line with the cognitive buffer hypothesis</w:t>
      </w:r>
      <w:r>
        <w:t xml:space="preserve"> </w:t>
      </w:r>
      <w:r>
        <w:t xml:space="preserve">[</w:t>
      </w:r>
      <w:hyperlink w:anchor="ref-ducatez2020">
        <w:r>
          <w:rPr>
            <w:rStyle w:val="Hyperlink"/>
          </w:rPr>
          <w:t xml:space="preserve">45</w:t>
        </w:r>
      </w:hyperlink>
      <w:r>
        <w:t xml:space="preserve">]</w:t>
      </w:r>
      <w:r>
        <w:t xml:space="preserve">, urban bees also showed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w:t>
      </w:r>
      <w:r>
        <w:t xml:space="preserve"> </w:t>
      </w:r>
      <w:r>
        <w:t xml:space="preserve">[</w:t>
      </w:r>
      <w:hyperlink w:anchor="ref-sayol2016">
        <w:r>
          <w:rPr>
            <w:rStyle w:val="Hyperlink"/>
          </w:rPr>
          <w:t xml:space="preserve">20</w:t>
        </w:r>
      </w:hyperlink>
      <w:r>
        <w:t xml:space="preserve">,</w:t>
      </w:r>
      <w:hyperlink w:anchor="ref-ducatez2015">
        <w:r>
          <w:rPr>
            <w:rStyle w:val="Hyperlink"/>
          </w:rPr>
          <w:t xml:space="preserve">52</w:t>
        </w:r>
      </w:hyperlink>
      <w:r>
        <w:t xml:space="preserve">,</w:t>
      </w:r>
      <w:hyperlink w:anchor="ref-sol2016">
        <w:r>
          <w:rPr>
            <w:rStyle w:val="Hyperlink"/>
          </w:rPr>
          <w:t xml:space="preserve">53</w:t>
        </w:r>
      </w:hyperlink>
      <w:r>
        <w:t xml:space="preserve">]</w:t>
      </w:r>
      <w:r>
        <w:t xml:space="preserve">. In our study, we examined only a few bee specialists, highlighting the need for further research on how different diets and life strategies relate to cognition and urban adaptation.</w:t>
      </w:r>
    </w:p>
    <w:p>
      <w:pPr>
        <w:pStyle w:val="BodyText"/>
      </w:pPr>
      <w:r>
        <w:t xml:space="preserve">Our findings support and extend upon previous evidence in vertebrates, that having larger brains can facilitate tolerance to urban environments</w:t>
      </w:r>
      <w:r>
        <w:t xml:space="preserve"> </w:t>
      </w:r>
      <w:r>
        <w:t xml:space="preserve">[</w:t>
      </w:r>
      <w:hyperlink w:anchor="ref-santini2019">
        <w:r>
          <w:rPr>
            <w:rStyle w:val="Hyperlink"/>
          </w:rPr>
          <w:t xml:space="preserve">54</w:t>
        </w:r>
      </w:hyperlink>
      <w:r>
        <w:t xml:space="preserve">,</w:t>
      </w:r>
      <w:hyperlink w:anchor="ref-sayol2020b">
        <w:r>
          <w:rPr>
            <w:rStyle w:val="Hyperlink"/>
          </w:rPr>
          <w:t xml:space="preserve">55</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We primarily analyzed brain size due to data availability, supported by prior findings showing larger brains improving certain cognitive aspects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However, future finer measures, such as neuropil size or mushroom bodies</w:t>
      </w:r>
      <w:r>
        <w:t xml:space="preserve"> </w:t>
      </w:r>
      <w:r>
        <w:t xml:space="preserve">[the suspected centres of cognitive processes in bees;</w:t>
      </w:r>
      <w:r>
        <w:t xml:space="preserve"> </w:t>
      </w:r>
      <w:hyperlink w:anchor="ref-barth1997">
        <w:r>
          <w:rPr>
            <w:rStyle w:val="Hyperlink"/>
          </w:rPr>
          <w:t xml:space="preserve">57</w:t>
        </w:r>
      </w:hyperlink>
      <w:r>
        <w:t xml:space="preserve">,</w:t>
      </w:r>
      <w:hyperlink w:anchor="ref-withers1995">
        <w:r>
          <w:rPr>
            <w:rStyle w:val="Hyperlink"/>
          </w:rPr>
          <w:t xml:space="preserve">58</w:t>
        </w:r>
      </w:hyperlink>
      <w:r>
        <w:t xml:space="preserve">,</w:t>
      </w:r>
      <w:hyperlink w:anchor="ref-fahrbach1995">
        <w:r>
          <w:rPr>
            <w:rStyle w:val="Hyperlink"/>
          </w:rPr>
          <w:t xml:space="preserve">59</w:t>
        </w:r>
      </w:hyperlink>
      <w:r>
        <w:t xml:space="preserve">]</w:t>
      </w:r>
      <w:r>
        <w:t xml:space="preserve">, are likely to enhance our understanding of bee cognition. Downscaling our analysis to the individual specimen level where brain size, habitat use and cognitive performance can be tracked through their lifespan would be a challenging but promising next step. Our findings highlight the importance of cognition for understanding the dynamics of insect populations in altered environments and stresses the need to avoid viewing them as passive agents of external pressures.</w:t>
      </w:r>
    </w:p>
    <w:bookmarkEnd w:id="40"/>
    <w:bookmarkStart w:id="42" w:name="data-accessibility"/>
    <w:p>
      <w:pPr>
        <w:pStyle w:val="Heading1"/>
      </w:pPr>
      <w:r>
        <w:t xml:space="preserve">Data accessibility</w:t>
      </w:r>
    </w:p>
    <w:p>
      <w:pPr>
        <w:pStyle w:val="FirstParagraph"/>
      </w:pPr>
      <w:r>
        <w:t xml:space="preserve">All data and code can be accessed at Dryad Digital Repository:</w:t>
      </w:r>
      <w:r>
        <w:t xml:space="preserve"> </w:t>
      </w:r>
      <w:hyperlink r:id="rId41">
        <w:r>
          <w:rPr>
            <w:rStyle w:val="Hyperlink"/>
          </w:rPr>
          <w:t xml:space="preserve">https://doi.org/10.5061/dryad.zw3r228dr</w:t>
        </w:r>
      </w:hyperlink>
      <w:r>
        <w:t xml:space="preserve"> </w:t>
      </w:r>
      <w:r>
        <w:t xml:space="preserve">[</w:t>
      </w:r>
      <w:hyperlink w:anchor="ref-Lanuza2023">
        <w:r>
          <w:rPr>
            <w:rStyle w:val="Hyperlink"/>
          </w:rPr>
          <w:t xml:space="preserve">60</w:t>
        </w:r>
      </w:hyperlink>
      <w:r>
        <w:t xml:space="preserve">]</w:t>
      </w:r>
      <w:r>
        <w:t xml:space="preserve">.</w:t>
      </w:r>
    </w:p>
    <w:bookmarkEnd w:id="42"/>
    <w:bookmarkStart w:id="43" w:name="authors-contributions"/>
    <w:p>
      <w:pPr>
        <w:pStyle w:val="Heading1"/>
      </w:pPr>
      <w:r>
        <w:t xml:space="preserve">Authors’ contributions</w:t>
      </w:r>
    </w:p>
    <w:p>
      <w:pPr>
        <w:pStyle w:val="FirstParagraph"/>
      </w:pPr>
      <w:r>
        <w:t xml:space="preserve">IB, DS, MAC and JBL designed the study. MAC and FS collected the data. JBL led the analysis with help from MAC, DS and IB. IB and JBL wrote the manuscript with contributions from all authors.</w:t>
      </w:r>
    </w:p>
    <w:bookmarkEnd w:id="43"/>
    <w:bookmarkStart w:id="44" w:name="funding"/>
    <w:p>
      <w:pPr>
        <w:pStyle w:val="Heading1"/>
      </w:pPr>
      <w:r>
        <w:t xml:space="preserve">Funding</w:t>
      </w:r>
    </w:p>
    <w:p>
      <w:pPr>
        <w:pStyle w:val="FirstParagraph"/>
      </w:pPr>
      <w:r>
        <w:t xml:space="preserve">Ministerio de Economía y Competitividad, Gobierno de España, Grant/Award Number: CGL2013-47448-P.</w:t>
      </w:r>
    </w:p>
    <w:bookmarkEnd w:id="44"/>
    <w:bookmarkStart w:id="45" w:name="acknowledgements"/>
    <w:p>
      <w:pPr>
        <w:pStyle w:val="Heading1"/>
      </w:pPr>
      <w:r>
        <w:t xml:space="preserve">Acknowledgements</w:t>
      </w:r>
    </w:p>
    <w:p>
      <w:pPr>
        <w:pStyle w:val="FirstParagraph"/>
      </w:pPr>
      <w:r>
        <w:t xml:space="preserve">We thank Fransico P. Molina, Ivo Reamakers and Parker Gambino for collecting some of the specimens.</w:t>
      </w:r>
    </w:p>
    <w:bookmarkEnd w:id="45"/>
    <w:bookmarkStart w:id="46"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6"/>
    <w:bookmarkStart w:id="109" w:name="references"/>
    <w:p>
      <w:pPr>
        <w:pStyle w:val="Heading1"/>
      </w:pPr>
      <w:r>
        <w:t xml:space="preserve">References</w:t>
      </w:r>
    </w:p>
    <w:bookmarkStart w:id="108" w:name="refs"/>
    <w:bookmarkStart w:id="47"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7"/>
    <w:bookmarkStart w:id="48"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8"/>
    <w:bookmarkStart w:id="49"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49"/>
    <w:bookmarkStart w:id="50"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0"/>
    <w:bookmarkStart w:id="51"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1"/>
    <w:bookmarkStart w:id="52"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2"/>
    <w:bookmarkStart w:id="53"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3"/>
    <w:bookmarkStart w:id="54"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4"/>
    <w:bookmarkStart w:id="55"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5"/>
    <w:bookmarkStart w:id="56"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6"/>
    <w:bookmarkStart w:id="57"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7"/>
    <w:bookmarkStart w:id="58"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8"/>
    <w:bookmarkStart w:id="59"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w:t>
      </w:r>
      <w:r>
        <w:t xml:space="preserve"> </w:t>
      </w:r>
      <w:r>
        <w:rPr>
          <w:bCs/>
          <w:b/>
        </w:rPr>
        <w:t xml:space="preserve">44</w:t>
      </w:r>
      <w:r>
        <w:t xml:space="preserve">, 243–250.</w:t>
      </w:r>
    </w:p>
    <w:bookmarkEnd w:id="59"/>
    <w:bookmarkStart w:id="60"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0"/>
    <w:bookmarkStart w:id="61"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1"/>
    <w:bookmarkStart w:id="62" w:name="ref-shettleworth2009"/>
    <w:p>
      <w:pPr>
        <w:pStyle w:val="Bibliography"/>
      </w:pPr>
      <w:r>
        <w:t xml:space="preserve">16.</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2"/>
    <w:bookmarkStart w:id="63" w:name="ref-sol2009"/>
    <w:p>
      <w:pPr>
        <w:pStyle w:val="Bibliography"/>
      </w:pPr>
      <w:r>
        <w:t xml:space="preserve">17.</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3"/>
    <w:bookmarkStart w:id="64"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4"/>
    <w:bookmarkStart w:id="65"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5"/>
    <w:bookmarkStart w:id="66"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6"/>
    <w:bookmarkStart w:id="67"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7"/>
    <w:bookmarkStart w:id="68"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8"/>
    <w:bookmarkStart w:id="69"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69"/>
    <w:bookmarkStart w:id="70"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0"/>
    <w:bookmarkStart w:id="71"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1"/>
    <w:bookmarkStart w:id="72"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2"/>
    <w:bookmarkStart w:id="73"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3"/>
    <w:bookmarkStart w:id="74"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4"/>
    <w:bookmarkStart w:id="75"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5"/>
    <w:bookmarkStart w:id="76"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6"/>
    <w:bookmarkStart w:id="77"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7"/>
    <w:bookmarkStart w:id="78"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8"/>
    <w:bookmarkStart w:id="79"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79"/>
    <w:bookmarkStart w:id="80"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0"/>
    <w:bookmarkStart w:id="81"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1"/>
    <w:bookmarkStart w:id="82"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2"/>
    <w:bookmarkStart w:id="83"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3"/>
    <w:bookmarkStart w:id="84"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4"/>
    <w:bookmarkStart w:id="85"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5"/>
    <w:bookmarkStart w:id="87"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6">
        <w:r>
          <w:rPr>
            <w:rStyle w:val="Hyperlink"/>
          </w:rPr>
          <w:t xml:space="preserve">https://www.R-project.org/</w:t>
        </w:r>
      </w:hyperlink>
      <w:r>
        <w:t xml:space="preserve">.</w:t>
      </w:r>
    </w:p>
    <w:bookmarkEnd w:id="87"/>
    <w:bookmarkStart w:id="88"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88"/>
    <w:bookmarkStart w:id="89"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89"/>
    <w:bookmarkStart w:id="90"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0"/>
    <w:bookmarkStart w:id="91"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1"/>
    <w:bookmarkStart w:id="92"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2"/>
    <w:bookmarkStart w:id="93"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3"/>
    <w:bookmarkStart w:id="94"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4"/>
    <w:bookmarkStart w:id="95"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5"/>
    <w:bookmarkStart w:id="96"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6"/>
    <w:bookmarkStart w:id="97"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7"/>
    <w:bookmarkStart w:id="98"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8"/>
    <w:bookmarkStart w:id="99" w:name="ref-ducatez2015"/>
    <w:p>
      <w:pPr>
        <w:pStyle w:val="Bibliography"/>
      </w:pPr>
      <w:r>
        <w:t xml:space="preserve">52.</w:t>
      </w:r>
      <w:r>
        <w:t xml:space="preserve"> </w:t>
      </w:r>
      <w:r>
        <w:t xml:space="preserve">	</w:t>
      </w:r>
      <w:r>
        <w:t xml:space="preserve">Ducatez S, Clavel J, Lefebvre L. 2015 Ecological generalism and behavioural innovation in birds: Technical intelligence or the simple incorporation of new foods?</w:t>
      </w:r>
      <w:r>
        <w:t xml:space="preserve"> </w:t>
      </w:r>
      <w:r>
        <w:rPr>
          <w:iCs/>
          <w:i/>
        </w:rPr>
        <w:t xml:space="preserve">Journal of Animal Ecology</w:t>
      </w:r>
      <w:r>
        <w:t xml:space="preserve"> </w:t>
      </w:r>
      <w:r>
        <w:rPr>
          <w:bCs/>
          <w:b/>
        </w:rPr>
        <w:t xml:space="preserve">84</w:t>
      </w:r>
      <w:r>
        <w:t xml:space="preserve">, 79–89.</w:t>
      </w:r>
    </w:p>
    <w:bookmarkEnd w:id="99"/>
    <w:bookmarkStart w:id="100" w:name="ref-sol2016"/>
    <w:p>
      <w:pPr>
        <w:pStyle w:val="Bibliography"/>
      </w:pPr>
      <w:r>
        <w:t xml:space="preserve">53.</w:t>
      </w:r>
      <w:r>
        <w:t xml:space="preserve"> </w:t>
      </w:r>
      <w:r>
        <w:t xml:space="preserve">	</w:t>
      </w:r>
      <w:r>
        <w:t xml:space="preserve">Sol D, Sayol F, Ducatez S, Lefebvre L. 2016 The life-history basis of behavioural innovations.</w:t>
      </w:r>
      <w:r>
        <w:t xml:space="preserve"> </w:t>
      </w:r>
      <w:r>
        <w:rPr>
          <w:iCs/>
          <w:i/>
        </w:rPr>
        <w:t xml:space="preserve">Philosophical Transactions of the Royal Society B: Biological Sciences</w:t>
      </w:r>
      <w:r>
        <w:t xml:space="preserve"> </w:t>
      </w:r>
      <w:r>
        <w:rPr>
          <w:bCs/>
          <w:b/>
        </w:rPr>
        <w:t xml:space="preserve">371</w:t>
      </w:r>
      <w:r>
        <w:t xml:space="preserve">, 20150187.</w:t>
      </w:r>
    </w:p>
    <w:bookmarkEnd w:id="100"/>
    <w:bookmarkStart w:id="101" w:name="ref-santini2019"/>
    <w:p>
      <w:pPr>
        <w:pStyle w:val="Bibliography"/>
      </w:pPr>
      <w:r>
        <w:t xml:space="preserve">54.</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1"/>
    <w:bookmarkStart w:id="102" w:name="ref-sayol2020b"/>
    <w:p>
      <w:pPr>
        <w:pStyle w:val="Bibliography"/>
      </w:pPr>
      <w:r>
        <w:t xml:space="preserve">55.</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2"/>
    <w:bookmarkStart w:id="103" w:name="ref-lihoreau2012"/>
    <w:p>
      <w:pPr>
        <w:pStyle w:val="Bibliography"/>
      </w:pPr>
      <w:r>
        <w:t xml:space="preserve">56.</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3"/>
    <w:bookmarkStart w:id="104" w:name="ref-barth1997"/>
    <w:p>
      <w:pPr>
        <w:pStyle w:val="Bibliography"/>
      </w:pPr>
      <w:r>
        <w:t xml:space="preserve">57.</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4"/>
    <w:bookmarkStart w:id="105" w:name="ref-withers1995"/>
    <w:p>
      <w:pPr>
        <w:pStyle w:val="Bibliography"/>
      </w:pPr>
      <w:r>
        <w:t xml:space="preserve">58.</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5"/>
    <w:bookmarkStart w:id="106" w:name="ref-fahrbach1995"/>
    <w:p>
      <w:pPr>
        <w:pStyle w:val="Bibliography"/>
      </w:pPr>
      <w:r>
        <w:t xml:space="preserve">59.</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6"/>
    <w:bookmarkStart w:id="107" w:name="ref-Lanuza2023"/>
    <w:p>
      <w:pPr>
        <w:pStyle w:val="Bibliography"/>
      </w:pPr>
      <w:r>
        <w:t xml:space="preserve">60.</w:t>
      </w:r>
      <w:r>
        <w:t xml:space="preserve"> </w:t>
      </w:r>
      <w:r>
        <w:t xml:space="preserve">	</w:t>
      </w:r>
      <w:r>
        <w:t xml:space="preserve">Lanuza J, Collado M, Ferran S, Sol D, Bartomeus I. 2023 Data from: Brain size predicts bees’ tolerance to urban environments.</w:t>
      </w:r>
      <w:r>
        <w:t xml:space="preserve"> </w:t>
      </w:r>
      <w:r>
        <w:rPr>
          <w:iCs/>
          <w:i/>
        </w:rPr>
        <w:t xml:space="preserve">Dryad Digital Repository</w:t>
      </w:r>
      <w:r>
        <w:t xml:space="preserve"> </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www.gbif.org/" TargetMode="External" /><Relationship Type="http://schemas.openxmlformats.org/officeDocument/2006/relationships/hyperlink" Id="rId41" Target="https://doi.org/10.5061/dryad.zw3r228dr"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www.gbif.org/" TargetMode="External" /><Relationship Type="http://schemas.openxmlformats.org/officeDocument/2006/relationships/hyperlink" Id="rId41" Target="https://doi.org/10.5061/dryad.zw3r228dr"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size predicts bees’ tolerance to urban environments</dc:title>
  <dc:creator/>
  <cp:keywords/>
  <dcterms:created xsi:type="dcterms:W3CDTF">2023-10-24T10:15:27Z</dcterms:created>
  <dcterms:modified xsi:type="dcterms:W3CDTF">2023-10-24T10:15:27Z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