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80D1" w14:textId="212BC3D6" w:rsidR="00B36853" w:rsidRPr="00B36853" w:rsidRDefault="00B36853" w:rsidP="00B36853">
      <w:pPr>
        <w:jc w:val="center"/>
        <w:rPr>
          <w:b/>
          <w:bCs/>
          <w:sz w:val="36"/>
          <w:szCs w:val="36"/>
        </w:rPr>
      </w:pPr>
      <w:r w:rsidRPr="00B36853">
        <w:rPr>
          <w:b/>
          <w:bCs/>
          <w:sz w:val="36"/>
          <w:szCs w:val="36"/>
        </w:rPr>
        <w:t>Yellow Taxi Trip Analysis</w:t>
      </w:r>
    </w:p>
    <w:p w14:paraId="676AA33C" w14:textId="4249BC72" w:rsidR="00B36853" w:rsidRDefault="00B36853" w:rsidP="00B36853">
      <w:pPr>
        <w:rPr>
          <w:b/>
          <w:bCs/>
          <w:sz w:val="28"/>
          <w:szCs w:val="28"/>
        </w:rPr>
      </w:pPr>
      <w:r w:rsidRPr="00B36853">
        <w:rPr>
          <w:b/>
          <w:bCs/>
          <w:sz w:val="28"/>
          <w:szCs w:val="28"/>
        </w:rPr>
        <w:t>Executive Summary</w:t>
      </w:r>
    </w:p>
    <w:p w14:paraId="7618C480" w14:textId="499980E0" w:rsidR="00B36853" w:rsidRPr="00B36853" w:rsidRDefault="00B36853" w:rsidP="00B36853">
      <w:pPr>
        <w:rPr>
          <w:sz w:val="22"/>
          <w:szCs w:val="22"/>
        </w:rPr>
      </w:pPr>
      <w:r w:rsidRPr="00B36853">
        <w:rPr>
          <w:sz w:val="22"/>
          <w:szCs w:val="22"/>
        </w:rPr>
        <w:t>This assignment analyzes TLC NYC Yellow Taxi trip records from 2018 through January 2023. The analysis focuses on identifying key commercial trends, segment differences, and data quality considerations that are relevant for business reporting and decision-making.</w:t>
      </w:r>
    </w:p>
    <w:p w14:paraId="3A3AD7BE" w14:textId="77777777" w:rsidR="00B36853" w:rsidRPr="00B36853" w:rsidRDefault="00B36853" w:rsidP="00B36853">
      <w:pPr>
        <w:rPr>
          <w:sz w:val="22"/>
          <w:szCs w:val="22"/>
        </w:rPr>
      </w:pPr>
      <w:r w:rsidRPr="00B36853">
        <w:rPr>
          <w:sz w:val="22"/>
          <w:szCs w:val="22"/>
        </w:rPr>
        <w:t xml:space="preserve">From a business perspective, the main takeaway is that the taxi market is not homogeneous. It is composed of distinct commercial segments with different </w:t>
      </w:r>
      <w:r w:rsidRPr="00B36853">
        <w:rPr>
          <w:sz w:val="22"/>
          <w:szCs w:val="22"/>
        </w:rPr>
        <w:t>behaviors</w:t>
      </w:r>
      <w:r w:rsidRPr="00B36853">
        <w:rPr>
          <w:sz w:val="22"/>
          <w:szCs w:val="22"/>
        </w:rPr>
        <w:t>, economics, and operational needs. Performance should therefore be interpreted through trip patterns, since location and timing have a direct impact on both volume and revenue. This is reflected in four clear segments: airport trips, Manhattan-Manhattan, Non-Manhattan-Manhattan, and Non-Manhattan-Non-Manhattan.</w:t>
      </w:r>
    </w:p>
    <w:p w14:paraId="36C70FC6" w14:textId="4D605073" w:rsidR="00B36853" w:rsidRPr="00B36853" w:rsidRDefault="00B36853" w:rsidP="00B36853">
      <w:pPr>
        <w:rPr>
          <w:sz w:val="22"/>
          <w:szCs w:val="22"/>
        </w:rPr>
      </w:pPr>
      <w:r w:rsidRPr="00B36853">
        <w:rPr>
          <w:sz w:val="22"/>
          <w:szCs w:val="22"/>
        </w:rPr>
        <w:t xml:space="preserve">From a </w:t>
      </w:r>
      <w:r w:rsidRPr="00B36853">
        <w:rPr>
          <w:sz w:val="22"/>
          <w:szCs w:val="22"/>
        </w:rPr>
        <w:t>Data Quality</w:t>
      </w:r>
      <w:r w:rsidRPr="00B36853">
        <w:rPr>
          <w:sz w:val="22"/>
          <w:szCs w:val="22"/>
        </w:rPr>
        <w:t xml:space="preserve"> perspective, there are also important issues to keep in mind. congestion_surcharge</w:t>
      </w:r>
      <w:r w:rsidRPr="00B36853">
        <w:rPr>
          <w:sz w:val="22"/>
          <w:szCs w:val="22"/>
        </w:rPr>
        <w:t xml:space="preserve"> field</w:t>
      </w:r>
      <w:r w:rsidRPr="00B36853">
        <w:rPr>
          <w:sz w:val="22"/>
          <w:szCs w:val="22"/>
        </w:rPr>
        <w:t xml:space="preserve"> appears to require further validation, and there may be additional concerns related to sensor reliability and the store-and-forward process. These elements should be reviewed carefully, as they may affect the integrity of KPI reporting and the robustness of any conclusions drawn from the data.</w:t>
      </w:r>
    </w:p>
    <w:p w14:paraId="0B13CED7" w14:textId="67B310B4" w:rsidR="00B36853" w:rsidRPr="00B36853" w:rsidRDefault="00B36853" w:rsidP="00B36853">
      <w:pPr>
        <w:rPr>
          <w:sz w:val="22"/>
          <w:szCs w:val="22"/>
        </w:rPr>
      </w:pPr>
      <w:r w:rsidRPr="00B36853">
        <w:rPr>
          <w:sz w:val="22"/>
          <w:szCs w:val="22"/>
        </w:rPr>
        <w:t>The table below summarize the most relevant findings and the associated business actions</w:t>
      </w:r>
    </w:p>
    <w:tbl>
      <w:tblPr>
        <w:tblW w:w="11340" w:type="dxa"/>
        <w:tblInd w:w="-900" w:type="dxa"/>
        <w:tblLook w:val="04A0" w:firstRow="1" w:lastRow="0" w:firstColumn="1" w:lastColumn="0" w:noHBand="0" w:noVBand="1"/>
      </w:tblPr>
      <w:tblGrid>
        <w:gridCol w:w="4946"/>
        <w:gridCol w:w="6394"/>
      </w:tblGrid>
      <w:tr w:rsidR="00B36853" w:rsidRPr="00B36853" w14:paraId="24A6631B" w14:textId="77777777" w:rsidTr="00B36853">
        <w:trPr>
          <w:trHeight w:val="300"/>
        </w:trPr>
        <w:tc>
          <w:tcPr>
            <w:tcW w:w="4946" w:type="dxa"/>
            <w:tcBorders>
              <w:top w:val="nil"/>
              <w:left w:val="nil"/>
              <w:bottom w:val="nil"/>
              <w:right w:val="nil"/>
            </w:tcBorders>
            <w:shd w:val="clear" w:color="000000" w:fill="83E28E"/>
            <w:noWrap/>
            <w:vAlign w:val="bottom"/>
            <w:hideMark/>
          </w:tcPr>
          <w:p w14:paraId="11F2CBB3"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Insight</w:t>
            </w:r>
          </w:p>
        </w:tc>
        <w:tc>
          <w:tcPr>
            <w:tcW w:w="6394" w:type="dxa"/>
            <w:tcBorders>
              <w:top w:val="nil"/>
              <w:left w:val="nil"/>
              <w:bottom w:val="nil"/>
              <w:right w:val="nil"/>
            </w:tcBorders>
            <w:shd w:val="clear" w:color="000000" w:fill="83E28E"/>
            <w:noWrap/>
            <w:vAlign w:val="bottom"/>
            <w:hideMark/>
          </w:tcPr>
          <w:p w14:paraId="2A7D5158"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Recommended Actions</w:t>
            </w:r>
          </w:p>
        </w:tc>
      </w:tr>
      <w:tr w:rsidR="00B36853" w:rsidRPr="00B36853" w14:paraId="5775E050" w14:textId="77777777" w:rsidTr="00B36853">
        <w:trPr>
          <w:trHeight w:val="300"/>
        </w:trPr>
        <w:tc>
          <w:tcPr>
            <w:tcW w:w="4946" w:type="dxa"/>
            <w:tcBorders>
              <w:top w:val="nil"/>
              <w:left w:val="nil"/>
              <w:bottom w:val="nil"/>
              <w:right w:val="nil"/>
            </w:tcBorders>
            <w:noWrap/>
            <w:vAlign w:val="bottom"/>
            <w:hideMark/>
          </w:tcPr>
          <w:p w14:paraId="1E34B6E3"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NYC taxi demand is concentrated in short Manhattan rides with clear weekday commuting peaks.</w:t>
            </w:r>
          </w:p>
        </w:tc>
        <w:tc>
          <w:tcPr>
            <w:tcW w:w="6394" w:type="dxa"/>
            <w:tcBorders>
              <w:top w:val="nil"/>
              <w:left w:val="nil"/>
              <w:bottom w:val="nil"/>
              <w:right w:val="nil"/>
            </w:tcBorders>
            <w:noWrap/>
            <w:vAlign w:val="bottom"/>
            <w:hideMark/>
          </w:tcPr>
          <w:p w14:paraId="6758DF28"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The core business is highly urban and time-sensitive, so driver allocation should prioritize Manhattan and peak weekday hours.</w:t>
            </w:r>
          </w:p>
        </w:tc>
      </w:tr>
      <w:tr w:rsidR="00B36853" w:rsidRPr="00B36853" w14:paraId="3BD669D7" w14:textId="77777777" w:rsidTr="00B36853">
        <w:trPr>
          <w:trHeight w:val="300"/>
        </w:trPr>
        <w:tc>
          <w:tcPr>
            <w:tcW w:w="4946" w:type="dxa"/>
            <w:tcBorders>
              <w:top w:val="nil"/>
              <w:left w:val="nil"/>
              <w:bottom w:val="nil"/>
              <w:right w:val="nil"/>
            </w:tcBorders>
            <w:noWrap/>
            <w:vAlign w:val="bottom"/>
            <w:hideMark/>
          </w:tcPr>
          <w:p w14:paraId="602B54A5"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Airport trips are a distinct high-value segment with much longer duration, distance, and fare levels.</w:t>
            </w:r>
          </w:p>
        </w:tc>
        <w:tc>
          <w:tcPr>
            <w:tcW w:w="6394" w:type="dxa"/>
            <w:tcBorders>
              <w:top w:val="nil"/>
              <w:left w:val="nil"/>
              <w:bottom w:val="nil"/>
              <w:right w:val="nil"/>
            </w:tcBorders>
            <w:noWrap/>
            <w:vAlign w:val="bottom"/>
            <w:hideMark/>
          </w:tcPr>
          <w:p w14:paraId="795B3A3F"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Airport trips should be reported separately and managed as a premium operational segment rather than mixed with general urban trips.</w:t>
            </w:r>
          </w:p>
        </w:tc>
      </w:tr>
      <w:tr w:rsidR="00B36853" w:rsidRPr="00B36853" w14:paraId="3CD40280" w14:textId="77777777" w:rsidTr="00B36853">
        <w:trPr>
          <w:trHeight w:val="300"/>
        </w:trPr>
        <w:tc>
          <w:tcPr>
            <w:tcW w:w="4946" w:type="dxa"/>
            <w:tcBorders>
              <w:top w:val="nil"/>
              <w:left w:val="nil"/>
              <w:bottom w:val="nil"/>
              <w:right w:val="nil"/>
            </w:tcBorders>
            <w:noWrap/>
            <w:vAlign w:val="bottom"/>
            <w:hideMark/>
          </w:tcPr>
          <w:p w14:paraId="2BA726C3"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Manhattan-to-Manhattan, Manhattan-to-outer borough, and non-Manhattan trips behave differently.</w:t>
            </w:r>
          </w:p>
        </w:tc>
        <w:tc>
          <w:tcPr>
            <w:tcW w:w="6394" w:type="dxa"/>
            <w:tcBorders>
              <w:top w:val="nil"/>
              <w:left w:val="nil"/>
              <w:bottom w:val="nil"/>
              <w:right w:val="nil"/>
            </w:tcBorders>
            <w:noWrap/>
            <w:vAlign w:val="bottom"/>
            <w:hideMark/>
          </w:tcPr>
          <w:p w14:paraId="4686CF85"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Trip segmentation should be embedded in reporting to avoid masking distinct demand and pricing patterns.</w:t>
            </w:r>
          </w:p>
        </w:tc>
      </w:tr>
      <w:tr w:rsidR="00B36853" w:rsidRPr="00B36853" w14:paraId="47B71741" w14:textId="77777777" w:rsidTr="00B36853">
        <w:trPr>
          <w:trHeight w:val="300"/>
        </w:trPr>
        <w:tc>
          <w:tcPr>
            <w:tcW w:w="4946" w:type="dxa"/>
            <w:tcBorders>
              <w:top w:val="nil"/>
              <w:left w:val="nil"/>
              <w:bottom w:val="nil"/>
              <w:right w:val="nil"/>
            </w:tcBorders>
            <w:noWrap/>
            <w:vAlign w:val="bottom"/>
            <w:hideMark/>
          </w:tcPr>
          <w:p w14:paraId="2C70B288"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Trip count has declined over time, while total amount has increased.</w:t>
            </w:r>
          </w:p>
        </w:tc>
        <w:tc>
          <w:tcPr>
            <w:tcW w:w="6394" w:type="dxa"/>
            <w:tcBorders>
              <w:top w:val="nil"/>
              <w:left w:val="nil"/>
              <w:bottom w:val="nil"/>
              <w:right w:val="nil"/>
            </w:tcBorders>
            <w:noWrap/>
            <w:vAlign w:val="bottom"/>
            <w:hideMark/>
          </w:tcPr>
          <w:p w14:paraId="7A7DD090"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Revenue growth is being driven more by trip distance and pricing than by stronger demand, so trip volume is the better KPI for market health.</w:t>
            </w:r>
          </w:p>
        </w:tc>
      </w:tr>
      <w:tr w:rsidR="00B36853" w:rsidRPr="00B36853" w14:paraId="2EDD7212" w14:textId="77777777" w:rsidTr="00B36853">
        <w:trPr>
          <w:trHeight w:val="300"/>
        </w:trPr>
        <w:tc>
          <w:tcPr>
            <w:tcW w:w="4946" w:type="dxa"/>
            <w:tcBorders>
              <w:top w:val="nil"/>
              <w:left w:val="nil"/>
              <w:bottom w:val="nil"/>
              <w:right w:val="nil"/>
            </w:tcBorders>
            <w:noWrap/>
            <w:vAlign w:val="bottom"/>
            <w:hideMark/>
          </w:tcPr>
          <w:p w14:paraId="5603E4AA"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Vendor concentration is very high, with one dominant player and one main competitor.</w:t>
            </w:r>
          </w:p>
        </w:tc>
        <w:tc>
          <w:tcPr>
            <w:tcW w:w="6394" w:type="dxa"/>
            <w:tcBorders>
              <w:top w:val="nil"/>
              <w:left w:val="nil"/>
              <w:bottom w:val="nil"/>
              <w:right w:val="nil"/>
            </w:tcBorders>
            <w:noWrap/>
            <w:vAlign w:val="bottom"/>
            <w:hideMark/>
          </w:tcPr>
          <w:p w14:paraId="6E68359B"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The market shows concentration risk, and competitive analysis should monitor whether dominance continues to increase.</w:t>
            </w:r>
          </w:p>
        </w:tc>
      </w:tr>
      <w:tr w:rsidR="00B36853" w:rsidRPr="00B36853" w14:paraId="08AEED81" w14:textId="77777777" w:rsidTr="00B36853">
        <w:trPr>
          <w:trHeight w:val="300"/>
        </w:trPr>
        <w:tc>
          <w:tcPr>
            <w:tcW w:w="4946" w:type="dxa"/>
            <w:tcBorders>
              <w:top w:val="nil"/>
              <w:left w:val="nil"/>
              <w:bottom w:val="nil"/>
              <w:right w:val="nil"/>
            </w:tcBorders>
            <w:noWrap/>
            <w:vAlign w:val="bottom"/>
            <w:hideMark/>
          </w:tcPr>
          <w:p w14:paraId="006DF2A3"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Credit card trips show strong recorded tipping behaviour, while cash tips are not captured.</w:t>
            </w:r>
          </w:p>
        </w:tc>
        <w:tc>
          <w:tcPr>
            <w:tcW w:w="6394" w:type="dxa"/>
            <w:tcBorders>
              <w:top w:val="nil"/>
              <w:left w:val="nil"/>
              <w:bottom w:val="nil"/>
              <w:right w:val="nil"/>
            </w:tcBorders>
            <w:noWrap/>
            <w:vAlign w:val="bottom"/>
            <w:hideMark/>
          </w:tcPr>
          <w:p w14:paraId="1501FF61"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Tip KPIs are incomplete by design, so cash trips should be excluded from tip analysis and results should be interpreted as partial rather than total market behaviour.</w:t>
            </w:r>
          </w:p>
        </w:tc>
      </w:tr>
      <w:tr w:rsidR="00B36853" w:rsidRPr="00B36853" w14:paraId="1645B5BE" w14:textId="77777777" w:rsidTr="00B36853">
        <w:trPr>
          <w:trHeight w:val="300"/>
        </w:trPr>
        <w:tc>
          <w:tcPr>
            <w:tcW w:w="4946" w:type="dxa"/>
            <w:tcBorders>
              <w:top w:val="nil"/>
              <w:left w:val="nil"/>
              <w:bottom w:val="nil"/>
              <w:right w:val="nil"/>
            </w:tcBorders>
            <w:noWrap/>
            <w:vAlign w:val="bottom"/>
            <w:hideMark/>
          </w:tcPr>
          <w:p w14:paraId="39DA34DC"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congestion_surcharge appears inconsistently recorded, and the store-and-forward pattern suggests possible system issues.</w:t>
            </w:r>
          </w:p>
        </w:tc>
        <w:tc>
          <w:tcPr>
            <w:tcW w:w="6394" w:type="dxa"/>
            <w:tcBorders>
              <w:top w:val="nil"/>
              <w:left w:val="nil"/>
              <w:bottom w:val="nil"/>
              <w:right w:val="nil"/>
            </w:tcBorders>
            <w:noWrap/>
            <w:vAlign w:val="bottom"/>
            <w:hideMark/>
          </w:tcPr>
          <w:p w14:paraId="032AA698"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Data quality rules should be strengthened, and the surcharge and capture process should be reviewed before relying on these fields for revenue analysis.</w:t>
            </w:r>
          </w:p>
        </w:tc>
      </w:tr>
      <w:tr w:rsidR="00B36853" w:rsidRPr="00B36853" w14:paraId="4E126C13" w14:textId="77777777" w:rsidTr="00B36853">
        <w:trPr>
          <w:trHeight w:val="300"/>
        </w:trPr>
        <w:tc>
          <w:tcPr>
            <w:tcW w:w="4946" w:type="dxa"/>
            <w:tcBorders>
              <w:top w:val="nil"/>
              <w:left w:val="nil"/>
              <w:bottom w:val="nil"/>
              <w:right w:val="nil"/>
            </w:tcBorders>
            <w:noWrap/>
            <w:vAlign w:val="bottom"/>
            <w:hideMark/>
          </w:tcPr>
          <w:p w14:paraId="0B59E710"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Some extreme records may reflect sensor or capture problems rather than real trips.</w:t>
            </w:r>
          </w:p>
        </w:tc>
        <w:tc>
          <w:tcPr>
            <w:tcW w:w="6394" w:type="dxa"/>
            <w:tcBorders>
              <w:top w:val="nil"/>
              <w:left w:val="nil"/>
              <w:bottom w:val="nil"/>
              <w:right w:val="nil"/>
            </w:tcBorders>
            <w:noWrap/>
            <w:vAlign w:val="bottom"/>
            <w:hideMark/>
          </w:tcPr>
          <w:p w14:paraId="1301FB4D"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Outlier handling should remain conservative, and suspicious records should be monitored separately instead of being treated as normal business activity.</w:t>
            </w:r>
          </w:p>
        </w:tc>
      </w:tr>
      <w:tr w:rsidR="00B36853" w:rsidRPr="00B36853" w14:paraId="778EA0D4" w14:textId="77777777" w:rsidTr="00B36853">
        <w:trPr>
          <w:trHeight w:val="300"/>
        </w:trPr>
        <w:tc>
          <w:tcPr>
            <w:tcW w:w="4946" w:type="dxa"/>
            <w:tcBorders>
              <w:top w:val="nil"/>
              <w:left w:val="nil"/>
              <w:bottom w:val="nil"/>
              <w:right w:val="nil"/>
            </w:tcBorders>
            <w:noWrap/>
            <w:vAlign w:val="bottom"/>
            <w:hideMark/>
          </w:tcPr>
          <w:p w14:paraId="33C8EA19"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The pandemic created a clear break in demand in 2020.</w:t>
            </w:r>
          </w:p>
        </w:tc>
        <w:tc>
          <w:tcPr>
            <w:tcW w:w="6394" w:type="dxa"/>
            <w:tcBorders>
              <w:top w:val="nil"/>
              <w:left w:val="nil"/>
              <w:bottom w:val="nil"/>
              <w:right w:val="nil"/>
            </w:tcBorders>
            <w:noWrap/>
            <w:vAlign w:val="bottom"/>
            <w:hideMark/>
          </w:tcPr>
          <w:p w14:paraId="3DC988B7" w14:textId="77777777" w:rsidR="00B36853" w:rsidRPr="00B36853" w:rsidRDefault="00B36853" w:rsidP="00B36853">
            <w:pPr>
              <w:spacing w:after="0" w:line="240" w:lineRule="auto"/>
              <w:rPr>
                <w:rFonts w:ascii="Aptos Narrow" w:eastAsia="Times New Roman" w:hAnsi="Aptos Narrow" w:cs="Times New Roman"/>
                <w:color w:val="000000"/>
                <w:kern w:val="0"/>
                <w:sz w:val="22"/>
                <w:szCs w:val="22"/>
                <w14:ligatures w14:val="none"/>
              </w:rPr>
            </w:pPr>
            <w:r w:rsidRPr="00B36853">
              <w:rPr>
                <w:rFonts w:ascii="Aptos Narrow" w:eastAsia="Times New Roman" w:hAnsi="Aptos Narrow" w:cs="Times New Roman"/>
                <w:color w:val="000000"/>
                <w:kern w:val="0"/>
                <w:sz w:val="22"/>
                <w:szCs w:val="22"/>
                <w14:ligatures w14:val="none"/>
              </w:rPr>
              <w:t>Historical trend analysis should treat 2020 as an exceptional period, not a normal reference year.</w:t>
            </w:r>
          </w:p>
        </w:tc>
      </w:tr>
    </w:tbl>
    <w:p w14:paraId="6F0C7986" w14:textId="3D413ED2" w:rsidR="00B36853" w:rsidRPr="00B36853" w:rsidRDefault="00B36853" w:rsidP="00B36853"/>
    <w:sectPr w:rsidR="00B36853" w:rsidRPr="00B36853">
      <w:headerReference w:type="default" r:id="rId6"/>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5163E" w14:textId="77777777" w:rsidR="00DD2646" w:rsidRDefault="00DD2646" w:rsidP="00B36853">
      <w:pPr>
        <w:spacing w:after="0" w:line="240" w:lineRule="auto"/>
      </w:pPr>
      <w:r>
        <w:separator/>
      </w:r>
    </w:p>
  </w:endnote>
  <w:endnote w:type="continuationSeparator" w:id="0">
    <w:p w14:paraId="225A5DAD" w14:textId="77777777" w:rsidR="00DD2646" w:rsidRDefault="00DD2646" w:rsidP="00B36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91F91" w14:textId="125787C5" w:rsidR="00B36853" w:rsidRDefault="00B36853">
    <w:pPr>
      <w:pStyle w:val="Footer"/>
    </w:pPr>
    <w:r>
      <w:rPr>
        <w:noProof/>
      </w:rPr>
      <mc:AlternateContent>
        <mc:Choice Requires="wps">
          <w:drawing>
            <wp:anchor distT="0" distB="0" distL="0" distR="0" simplePos="0" relativeHeight="251659264" behindDoc="0" locked="0" layoutInCell="1" allowOverlap="1" wp14:anchorId="43005CD8" wp14:editId="52907768">
              <wp:simplePos x="635" y="635"/>
              <wp:positionH relativeFrom="page">
                <wp:align>right</wp:align>
              </wp:positionH>
              <wp:positionV relativeFrom="page">
                <wp:align>bottom</wp:align>
              </wp:positionV>
              <wp:extent cx="1776730" cy="585470"/>
              <wp:effectExtent l="0" t="0" r="0" b="0"/>
              <wp:wrapNone/>
              <wp:docPr id="368845476"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730" cy="585470"/>
                      </a:xfrm>
                      <a:prstGeom prst="rect">
                        <a:avLst/>
                      </a:prstGeom>
                      <a:noFill/>
                      <a:ln>
                        <a:noFill/>
                      </a:ln>
                    </wps:spPr>
                    <wps:txbx>
                      <w:txbxContent>
                        <w:p w14:paraId="3713DAEE" w14:textId="0FC2BFD2" w:rsidR="00B36853" w:rsidRPr="00B36853" w:rsidRDefault="00B36853" w:rsidP="00B36853">
                          <w:pPr>
                            <w:spacing w:after="0"/>
                            <w:rPr>
                              <w:rFonts w:ascii="Aptos" w:eastAsia="Aptos" w:hAnsi="Aptos" w:cs="Aptos"/>
                              <w:noProof/>
                              <w:color w:val="FF8939"/>
                              <w:sz w:val="44"/>
                              <w:szCs w:val="44"/>
                            </w:rPr>
                          </w:pPr>
                          <w:r w:rsidRPr="00B36853">
                            <w:rPr>
                              <w:rFonts w:ascii="Aptos" w:eastAsia="Aptos" w:hAnsi="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3005CD8" id="_x0000_t202" coordsize="21600,21600" o:spt="202" path="m,l,21600r21600,l21600,xe">
              <v:stroke joinstyle="miter"/>
              <v:path gradientshapeok="t" o:connecttype="rect"/>
            </v:shapetype>
            <v:shape id="Text Box 2" o:spid="_x0000_s1026" type="#_x0000_t202" alt="RESTRICTED" style="position:absolute;margin-left:88.7pt;margin-top:0;width:139.9pt;height:46.1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" filled="f" stroked="f">
              <v:fill o:detectmouseclick="t"/>
              <v:textbox style="mso-fit-shape-to-text:t" inset="0,0,20pt,15pt">
                <w:txbxContent>
                  <w:p w14:paraId="3713DAEE" w14:textId="0FC2BFD2" w:rsidR="00B36853" w:rsidRPr="00B36853" w:rsidRDefault="00B36853" w:rsidP="00B36853">
                    <w:pPr>
                      <w:spacing w:after="0"/>
                      <w:rPr>
                        <w:rFonts w:ascii="Aptos" w:eastAsia="Aptos" w:hAnsi="Aptos" w:cs="Aptos"/>
                        <w:noProof/>
                        <w:color w:val="FF8939"/>
                        <w:sz w:val="44"/>
                        <w:szCs w:val="44"/>
                      </w:rPr>
                    </w:pPr>
                    <w:r w:rsidRPr="00B36853">
                      <w:rPr>
                        <w:rFonts w:ascii="Aptos" w:eastAsia="Aptos" w:hAnsi="Aptos" w:cs="Aptos"/>
                        <w:noProof/>
                        <w:color w:val="FF8939"/>
                        <w:sz w:val="44"/>
                        <w:szCs w:val="44"/>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91A7" w14:textId="7371ADF4" w:rsidR="00B36853" w:rsidRDefault="00B36853">
    <w:pPr>
      <w:pStyle w:val="Footer"/>
    </w:pPr>
    <w:r>
      <w:rPr>
        <w:noProof/>
      </w:rPr>
      <mc:AlternateContent>
        <mc:Choice Requires="wps">
          <w:drawing>
            <wp:anchor distT="0" distB="0" distL="0" distR="0" simplePos="0" relativeHeight="251660288" behindDoc="0" locked="0" layoutInCell="1" allowOverlap="1" wp14:anchorId="6B2B632C" wp14:editId="5C27143E">
              <wp:simplePos x="914400" y="9420447"/>
              <wp:positionH relativeFrom="page">
                <wp:align>right</wp:align>
              </wp:positionH>
              <wp:positionV relativeFrom="page">
                <wp:align>bottom</wp:align>
              </wp:positionV>
              <wp:extent cx="1776730" cy="585470"/>
              <wp:effectExtent l="0" t="0" r="0" b="0"/>
              <wp:wrapNone/>
              <wp:docPr id="394471449"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730" cy="585470"/>
                      </a:xfrm>
                      <a:prstGeom prst="rect">
                        <a:avLst/>
                      </a:prstGeom>
                      <a:noFill/>
                      <a:ln>
                        <a:noFill/>
                      </a:ln>
                    </wps:spPr>
                    <wps:txbx>
                      <w:txbxContent>
                        <w:p w14:paraId="6CC6DE7F" w14:textId="2452AA5F" w:rsidR="00B36853" w:rsidRPr="00B36853" w:rsidRDefault="00B36853" w:rsidP="00B36853">
                          <w:pPr>
                            <w:spacing w:after="0"/>
                            <w:rPr>
                              <w:rFonts w:ascii="Aptos" w:eastAsia="Aptos" w:hAnsi="Aptos" w:cs="Aptos"/>
                              <w:noProof/>
                              <w:color w:val="FF8939"/>
                              <w:sz w:val="44"/>
                              <w:szCs w:val="44"/>
                            </w:rPr>
                          </w:pPr>
                          <w:r w:rsidRPr="00B36853">
                            <w:rPr>
                              <w:rFonts w:ascii="Aptos" w:eastAsia="Aptos" w:hAnsi="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B2B632C" id="_x0000_t202" coordsize="21600,21600" o:spt="202" path="m,l,21600r21600,l21600,xe">
              <v:stroke joinstyle="miter"/>
              <v:path gradientshapeok="t" o:connecttype="rect"/>
            </v:shapetype>
            <v:shape id="Text Box 3" o:spid="_x0000_s1027" type="#_x0000_t202" alt="RESTRICTED" style="position:absolute;margin-left:88.7pt;margin-top:0;width:139.9pt;height:46.1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" filled="f" stroked="f">
              <v:fill o:detectmouseclick="t"/>
              <v:textbox style="mso-fit-shape-to-text:t" inset="0,0,20pt,15pt">
                <w:txbxContent>
                  <w:p w14:paraId="6CC6DE7F" w14:textId="2452AA5F" w:rsidR="00B36853" w:rsidRPr="00B36853" w:rsidRDefault="00B36853" w:rsidP="00B36853">
                    <w:pPr>
                      <w:spacing w:after="0"/>
                      <w:rPr>
                        <w:rFonts w:ascii="Aptos" w:eastAsia="Aptos" w:hAnsi="Aptos" w:cs="Aptos"/>
                        <w:noProof/>
                        <w:color w:val="FF8939"/>
                        <w:sz w:val="44"/>
                        <w:szCs w:val="44"/>
                      </w:rPr>
                    </w:pPr>
                    <w:r w:rsidRPr="00B36853">
                      <w:rPr>
                        <w:rFonts w:ascii="Aptos" w:eastAsia="Aptos" w:hAnsi="Aptos" w:cs="Aptos"/>
                        <w:noProof/>
                        <w:color w:val="FF8939"/>
                        <w:sz w:val="44"/>
                        <w:szCs w:val="44"/>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0204" w14:textId="6AC95E1E" w:rsidR="00B36853" w:rsidRDefault="00B36853">
    <w:pPr>
      <w:pStyle w:val="Footer"/>
    </w:pPr>
    <w:r>
      <w:rPr>
        <w:noProof/>
      </w:rPr>
      <mc:AlternateContent>
        <mc:Choice Requires="wps">
          <w:drawing>
            <wp:anchor distT="0" distB="0" distL="0" distR="0" simplePos="0" relativeHeight="251658240" behindDoc="0" locked="0" layoutInCell="1" allowOverlap="1" wp14:anchorId="4A2C912B" wp14:editId="5D59543A">
              <wp:simplePos x="635" y="635"/>
              <wp:positionH relativeFrom="page">
                <wp:align>right</wp:align>
              </wp:positionH>
              <wp:positionV relativeFrom="page">
                <wp:align>bottom</wp:align>
              </wp:positionV>
              <wp:extent cx="1776730" cy="585470"/>
              <wp:effectExtent l="0" t="0" r="0" b="0"/>
              <wp:wrapNone/>
              <wp:docPr id="396181818"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730" cy="585470"/>
                      </a:xfrm>
                      <a:prstGeom prst="rect">
                        <a:avLst/>
                      </a:prstGeom>
                      <a:noFill/>
                      <a:ln>
                        <a:noFill/>
                      </a:ln>
                    </wps:spPr>
                    <wps:txbx>
                      <w:txbxContent>
                        <w:p w14:paraId="7771D90F" w14:textId="65A116F9" w:rsidR="00B36853" w:rsidRPr="00B36853" w:rsidRDefault="00B36853" w:rsidP="00B36853">
                          <w:pPr>
                            <w:spacing w:after="0"/>
                            <w:rPr>
                              <w:rFonts w:ascii="Aptos" w:eastAsia="Aptos" w:hAnsi="Aptos" w:cs="Aptos"/>
                              <w:noProof/>
                              <w:color w:val="FF8939"/>
                              <w:sz w:val="44"/>
                              <w:szCs w:val="44"/>
                            </w:rPr>
                          </w:pPr>
                          <w:r w:rsidRPr="00B36853">
                            <w:rPr>
                              <w:rFonts w:ascii="Aptos" w:eastAsia="Aptos" w:hAnsi="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A2C912B" id="_x0000_t202" coordsize="21600,21600" o:spt="202" path="m,l,21600r21600,l21600,xe">
              <v:stroke joinstyle="miter"/>
              <v:path gradientshapeok="t" o:connecttype="rect"/>
            </v:shapetype>
            <v:shape id="Text Box 1" o:spid="_x0000_s1028" type="#_x0000_t202" alt="RESTRICTED" style="position:absolute;margin-left:88.7pt;margin-top:0;width:139.9pt;height:46.1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" filled="f" stroked="f">
              <v:fill o:detectmouseclick="t"/>
              <v:textbox style="mso-fit-shape-to-text:t" inset="0,0,20pt,15pt">
                <w:txbxContent>
                  <w:p w14:paraId="7771D90F" w14:textId="65A116F9" w:rsidR="00B36853" w:rsidRPr="00B36853" w:rsidRDefault="00B36853" w:rsidP="00B36853">
                    <w:pPr>
                      <w:spacing w:after="0"/>
                      <w:rPr>
                        <w:rFonts w:ascii="Aptos" w:eastAsia="Aptos" w:hAnsi="Aptos" w:cs="Aptos"/>
                        <w:noProof/>
                        <w:color w:val="FF8939"/>
                        <w:sz w:val="44"/>
                        <w:szCs w:val="44"/>
                      </w:rPr>
                    </w:pPr>
                    <w:r w:rsidRPr="00B36853">
                      <w:rPr>
                        <w:rFonts w:ascii="Aptos" w:eastAsia="Aptos" w:hAnsi="Aptos" w:cs="Aptos"/>
                        <w:noProof/>
                        <w:color w:val="FF8939"/>
                        <w:sz w:val="44"/>
                        <w:szCs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38AF0" w14:textId="77777777" w:rsidR="00DD2646" w:rsidRDefault="00DD2646" w:rsidP="00B36853">
      <w:pPr>
        <w:spacing w:after="0" w:line="240" w:lineRule="auto"/>
      </w:pPr>
      <w:r>
        <w:separator/>
      </w:r>
    </w:p>
  </w:footnote>
  <w:footnote w:type="continuationSeparator" w:id="0">
    <w:p w14:paraId="20E434A0" w14:textId="77777777" w:rsidR="00DD2646" w:rsidRDefault="00DD2646" w:rsidP="00B36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7FDCD" w14:textId="305046FD" w:rsidR="00B36853" w:rsidRDefault="00B36853" w:rsidP="00B36853">
    <w:pPr>
      <w:pStyle w:val="Header"/>
      <w:jc w:val="right"/>
    </w:pPr>
    <w:r>
      <w:t>Author: Ignacio Bavastro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853"/>
    <w:rsid w:val="00164472"/>
    <w:rsid w:val="00401703"/>
    <w:rsid w:val="0053343B"/>
    <w:rsid w:val="00A649B5"/>
    <w:rsid w:val="00B36853"/>
    <w:rsid w:val="00BA69B9"/>
    <w:rsid w:val="00C11967"/>
    <w:rsid w:val="00D66087"/>
    <w:rsid w:val="00DD2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A8B3A"/>
  <w15:chartTrackingRefBased/>
  <w15:docId w15:val="{E29D046F-1CF6-4F4A-9A32-8EDC46362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853"/>
    <w:rPr>
      <w:rFonts w:eastAsiaTheme="majorEastAsia" w:cstheme="majorBidi"/>
      <w:color w:val="272727" w:themeColor="text1" w:themeTint="D8"/>
    </w:rPr>
  </w:style>
  <w:style w:type="paragraph" w:styleId="Title">
    <w:name w:val="Title"/>
    <w:basedOn w:val="Normal"/>
    <w:next w:val="Normal"/>
    <w:link w:val="TitleChar"/>
    <w:uiPriority w:val="10"/>
    <w:qFormat/>
    <w:rsid w:val="00B36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853"/>
    <w:pPr>
      <w:spacing w:before="160"/>
      <w:jc w:val="center"/>
    </w:pPr>
    <w:rPr>
      <w:i/>
      <w:iCs/>
      <w:color w:val="404040" w:themeColor="text1" w:themeTint="BF"/>
    </w:rPr>
  </w:style>
  <w:style w:type="character" w:customStyle="1" w:styleId="QuoteChar">
    <w:name w:val="Quote Char"/>
    <w:basedOn w:val="DefaultParagraphFont"/>
    <w:link w:val="Quote"/>
    <w:uiPriority w:val="29"/>
    <w:rsid w:val="00B36853"/>
    <w:rPr>
      <w:i/>
      <w:iCs/>
      <w:color w:val="404040" w:themeColor="text1" w:themeTint="BF"/>
    </w:rPr>
  </w:style>
  <w:style w:type="paragraph" w:styleId="ListParagraph">
    <w:name w:val="List Paragraph"/>
    <w:basedOn w:val="Normal"/>
    <w:uiPriority w:val="34"/>
    <w:qFormat/>
    <w:rsid w:val="00B36853"/>
    <w:pPr>
      <w:ind w:left="720"/>
      <w:contextualSpacing/>
    </w:pPr>
  </w:style>
  <w:style w:type="character" w:styleId="IntenseEmphasis">
    <w:name w:val="Intense Emphasis"/>
    <w:basedOn w:val="DefaultParagraphFont"/>
    <w:uiPriority w:val="21"/>
    <w:qFormat/>
    <w:rsid w:val="00B36853"/>
    <w:rPr>
      <w:i/>
      <w:iCs/>
      <w:color w:val="0F4761" w:themeColor="accent1" w:themeShade="BF"/>
    </w:rPr>
  </w:style>
  <w:style w:type="paragraph" w:styleId="IntenseQuote">
    <w:name w:val="Intense Quote"/>
    <w:basedOn w:val="Normal"/>
    <w:next w:val="Normal"/>
    <w:link w:val="IntenseQuoteChar"/>
    <w:uiPriority w:val="30"/>
    <w:qFormat/>
    <w:rsid w:val="00B36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853"/>
    <w:rPr>
      <w:i/>
      <w:iCs/>
      <w:color w:val="0F4761" w:themeColor="accent1" w:themeShade="BF"/>
    </w:rPr>
  </w:style>
  <w:style w:type="character" w:styleId="IntenseReference">
    <w:name w:val="Intense Reference"/>
    <w:basedOn w:val="DefaultParagraphFont"/>
    <w:uiPriority w:val="32"/>
    <w:qFormat/>
    <w:rsid w:val="00B36853"/>
    <w:rPr>
      <w:b/>
      <w:bCs/>
      <w:smallCaps/>
      <w:color w:val="0F4761" w:themeColor="accent1" w:themeShade="BF"/>
      <w:spacing w:val="5"/>
    </w:rPr>
  </w:style>
  <w:style w:type="paragraph" w:styleId="Header">
    <w:name w:val="header"/>
    <w:basedOn w:val="Normal"/>
    <w:link w:val="HeaderChar"/>
    <w:uiPriority w:val="99"/>
    <w:unhideWhenUsed/>
    <w:rsid w:val="00B36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853"/>
  </w:style>
  <w:style w:type="paragraph" w:styleId="Footer">
    <w:name w:val="footer"/>
    <w:basedOn w:val="Normal"/>
    <w:link w:val="FooterChar"/>
    <w:uiPriority w:val="99"/>
    <w:unhideWhenUsed/>
    <w:rsid w:val="00B36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493</Words>
  <Characters>2816</Characters>
  <Application>Microsoft Office Word</Application>
  <DocSecurity>0</DocSecurity>
  <Lines>23</Lines>
  <Paragraphs>6</Paragraphs>
  <ScaleCrop>false</ScaleCrop>
  <Company>Bayer AG</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Bavastro</dc:creator>
  <cp:keywords/>
  <dc:description/>
  <cp:lastModifiedBy>Ignacio Bavastro</cp:lastModifiedBy>
  <cp:revision>1</cp:revision>
  <dcterms:created xsi:type="dcterms:W3CDTF">2026-06-01T13:07:00Z</dcterms:created>
  <dcterms:modified xsi:type="dcterms:W3CDTF">2026-06-01T13:16:00Z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179d413a,15fc22a4,17832819</vt:lpwstr>
  </property>
  <property fmtid="{D5CDD505-2E9C-101B-9397-08002B2CF9AE}" pid="3" name="ClassificationContentMarkingFooterFontProps">
    <vt:lpwstr>#ff8939,22,Aptos</vt:lpwstr>
  </property>
  <property fmtid="{D5CDD505-2E9C-101B-9397-08002B2CF9AE}" pid="4" name="ClassificationContentMarkingFooterText">
    <vt:lpwstr>RESTRICTED</vt:lpwstr>
  </property>
  <property fmtid="{D5CDD505-2E9C-101B-9397-08002B2CF9AE}" pid="5" name="MSIP_Label_2c76c141-ac86-40e5-abf2-c6f60e474cee_Enabled">
    <vt:lpwstr>true</vt:lpwstr>
  </property>
  <property fmtid="{D5CDD505-2E9C-101B-9397-08002B2CF9AE}" pid="6" name="MSIP_Label_2c76c141-ac86-40e5-abf2-c6f60e474cee_SetDate">
    <vt:lpwstr>2026-06-01T13:16:52Z</vt:lpwstr>
  </property>
  <property fmtid="{D5CDD505-2E9C-101B-9397-08002B2CF9AE}" pid="7" name="MSIP_Label_2c76c141-ac86-40e5-abf2-c6f60e474cee_Method">
    <vt:lpwstr>Standard</vt:lpwstr>
  </property>
  <property fmtid="{D5CDD505-2E9C-101B-9397-08002B2CF9AE}" pid="8" name="MSIP_Label_2c76c141-ac86-40e5-abf2-c6f60e474cee_Name">
    <vt:lpwstr>2c76c141-ac86-40e5-abf2-c6f60e474cee</vt:lpwstr>
  </property>
  <property fmtid="{D5CDD505-2E9C-101B-9397-08002B2CF9AE}" pid="9" name="MSIP_Label_2c76c141-ac86-40e5-abf2-c6f60e474cee_SiteId">
    <vt:lpwstr>fcb2b37b-5da0-466b-9b83-0014b67a7c78</vt:lpwstr>
  </property>
  <property fmtid="{D5CDD505-2E9C-101B-9397-08002B2CF9AE}" pid="10" name="MSIP_Label_2c76c141-ac86-40e5-abf2-c6f60e474cee_ActionId">
    <vt:lpwstr>f50589aa-69bd-4ea8-bb55-95f1c6c2eacf</vt:lpwstr>
  </property>
  <property fmtid="{D5CDD505-2E9C-101B-9397-08002B2CF9AE}" pid="11" name="MSIP_Label_2c76c141-ac86-40e5-abf2-c6f60e474cee_ContentBits">
    <vt:lpwstr>2</vt:lpwstr>
  </property>
  <property fmtid="{D5CDD505-2E9C-101B-9397-08002B2CF9AE}" pid="12" name="MSIP_Label_2c76c141-ac86-40e5-abf2-c6f60e474cee_Tag">
    <vt:lpwstr>10, 3, 0, 1</vt:lpwstr>
  </property>
</Properties>
</file>