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i w:val="0"/>
          <w:color w:val="0F172A"/>
          <w:sz w:val="46"/>
        </w:rPr>
        <w:t>Monthly Project Report</w:t>
      </w:r>
    </w:p>
    <w:p>
      <w:pPr>
        <w:spacing w:after="240"/>
      </w:pPr>
      <w:r>
        <w:rPr>
          <w:rFonts w:ascii="Calibri" w:hAnsi="Calibri"/>
          <w:b/>
          <w:i w:val="0"/>
          <w:color w:val="1F4D78"/>
          <w:sz w:val="28"/>
        </w:rPr>
        <w:t>Northstar Customer Platform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Document role: </w:t>
      </w:r>
      <w:r>
        <w:rPr>
          <w:rFonts w:ascii="Calibri" w:hAnsi="Calibri"/>
          <w:b w:val="0"/>
          <w:i w:val="0"/>
          <w:color w:val="0F172A"/>
          <w:sz w:val="20"/>
        </w:rPr>
        <w:t>Current monthly performance evidence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Reporting period: </w:t>
      </w:r>
      <w:r>
        <w:rPr>
          <w:rFonts w:ascii="Calibri" w:hAnsi="Calibri"/>
          <w:b w:val="0"/>
          <w:i w:val="0"/>
          <w:color w:val="0F172A"/>
          <w:sz w:val="20"/>
        </w:rPr>
        <w:t>April 2026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Reporting period key: </w:t>
      </w:r>
      <w:r>
        <w:rPr>
          <w:rFonts w:ascii="Calibri" w:hAnsi="Calibri"/>
          <w:b w:val="0"/>
          <w:i w:val="0"/>
          <w:color w:val="0F172A"/>
          <w:sz w:val="20"/>
        </w:rPr>
        <w:t>2026-04-01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Report date: </w:t>
      </w:r>
      <w:r>
        <w:rPr>
          <w:rFonts w:ascii="Calibri" w:hAnsi="Calibri"/>
          <w:b w:val="0"/>
          <w:i w:val="0"/>
          <w:color w:val="0F172A"/>
          <w:sz w:val="20"/>
        </w:rPr>
        <w:t>2026-04-30</w:t>
      </w:r>
    </w:p>
    <w:p>
      <w:pPr>
        <w:spacing w:after="60"/>
      </w:pPr>
    </w:p>
    <w:p>
      <w:pPr>
        <w:spacing w:before="120" w:after="120"/>
        <w:ind w:left="202" w:right="202"/>
        <w:shd w:fill="FFF4CE" w:val="clear"/>
      </w:pPr>
      <w:r>
        <w:rPr>
          <w:rFonts w:ascii="Calibri" w:hAnsi="Calibri"/>
          <w:b/>
          <w:i w:val="0"/>
          <w:color w:val="9A6700"/>
          <w:sz w:val="21"/>
        </w:rPr>
        <w:t xml:space="preserve">Management status: </w:t>
      </w:r>
      <w:r>
        <w:rPr>
          <w:rFonts w:ascii="Calibri" w:hAnsi="Calibri"/>
          <w:b w:val="0"/>
          <w:i w:val="0"/>
          <w:color w:val="9A6700"/>
          <w:sz w:val="21"/>
        </w:rPr>
        <w:t>Needs attention. Forecast cost is 2% above the approved budget, Go-Live is forecast 7 days late, and one new controlled high risk is open.</w:t>
      </w:r>
    </w:p>
    <w:p>
      <w:pPr>
        <w:pStyle w:val="Heading1"/>
      </w:pPr>
      <w:r>
        <w:t>Current control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2520"/>
        <w:gridCol w:w="4320"/>
      </w:tblGrid>
      <w:tr>
        <w:trPr>
          <w:tblHeader w:val="true"/>
        </w:trPr>
        <w:tc>
          <w:tcPr>
            <w:tcW w:type="dxa" w:w="25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Measure</w:t>
            </w:r>
          </w:p>
        </w:tc>
        <w:tc>
          <w:tcPr>
            <w:tcW w:type="dxa" w:w="25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Plan / baseline</w:t>
            </w:r>
          </w:p>
        </w:tc>
        <w:tc>
          <w:tcPr>
            <w:tcW w:type="dxa" w:w="43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April current value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Budget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USD 1,200,000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Forecast at completion: USD 1,224,000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Cost to date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Actual cost: USD 455,000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Overall progress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40% planned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34% actual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Production Go-Live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2026-09-30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Forecast: 2026-10-07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Schedule movement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 days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7 calendar days late</w:t>
            </w:r>
          </w:p>
        </w:tc>
      </w:tr>
    </w:tbl>
    <w:p>
      <w:pPr>
        <w:spacing w:after="20"/>
      </w:pPr>
    </w:p>
    <w:p>
      <w:pPr>
        <w:pStyle w:val="Heading1"/>
      </w:pPr>
      <w:r>
        <w:t>Current risk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1440"/>
        <w:gridCol w:w="6480"/>
      </w:tblGrid>
      <w:tr>
        <w:trPr>
          <w:tblHeader w:val="true"/>
        </w:trPr>
        <w:tc>
          <w:tcPr>
            <w:tcW w:type="dxa" w:w="14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Risk ID</w:t>
            </w:r>
          </w:p>
        </w:tc>
        <w:tc>
          <w:tcPr>
            <w:tcW w:type="dxa" w:w="14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Severity</w:t>
            </w:r>
          </w:p>
        </w:tc>
        <w:tc>
          <w:tcPr>
            <w:tcW w:type="dxa" w:w="648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Status and control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R-014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High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Open; owner: Integration Lead; mitigation: add capacity test; due 2026-05-15.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1"/>
        </w:rPr>
        <w:t>Explicit April risk counts: 0 open critical risks; 1 open high risk; 0 high risks missing an owner or mitigation; 0 increased risks; 1 new high risk; maximum mitigation overdue is 0 days.</w:t>
      </w:r>
    </w:p>
    <w:p>
      <w:pPr>
        <w:pStyle w:val="Heading1"/>
      </w:pPr>
      <w:r>
        <w:t>PMO decision</w:t>
      </w: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1"/>
        </w:rPr>
        <w:t>Keep the approved baseline unchanged. The Integration Lead will run the capacity test before the May steering committee and report whether the 7-day forecast delay can be recovered.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475569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 w:val="0"/>
        <w:i w:val="0"/>
        <w:color w:val="475569"/>
        <w:sz w:val="18"/>
      </w:rPr>
      <w:t>X-Assurance demo evidence | Monthly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Customer Platform April 2026 Monthly Project Report</dc:title>
  <dc:subject>April 2026 current cost, schedule, and risk evidence</dc:subject>
  <dc:creator>X-Assurance Demo</dc:creator>
  <cp:keywords/>
  <dc:description>generated by python-docx</dc:description>
  <cp:lastModifiedBy/>
  <cp:revision>1</cp:revision>
  <dcterms:created xsi:type="dcterms:W3CDTF">2026-04-30T17:00:00Z</dcterms:created>
  <dcterms:modified xsi:type="dcterms:W3CDTF">2026-04-30T17:00:00Z</dcterms:modified>
  <cp:category/>
</cp:coreProperties>
</file>