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F172A"/>
          <w:sz w:val="48"/>
        </w:rPr>
        <w:t>Monthly Progress Report</w:t>
      </w:r>
    </w:p>
    <w:p>
      <w:pPr>
        <w:spacing w:after="60"/>
      </w:pPr>
      <w:r>
        <w:rPr>
          <w:rFonts w:ascii="Calibri" w:hAnsi="Calibri"/>
          <w:b/>
          <w:color w:val="1D4ED8"/>
          <w:sz w:val="28"/>
        </w:rPr>
        <w:t>Alpha Infrastructure Program</w:t>
      </w:r>
    </w:p>
    <w:p>
      <w:pPr>
        <w:spacing w:after="280"/>
      </w:pPr>
      <w:r>
        <w:rPr>
          <w:rFonts w:ascii="Calibri" w:hAnsi="Calibri"/>
          <w:color w:val="475569"/>
          <w:sz w:val="18"/>
        </w:rPr>
        <w:t>Reporting period: May 2026 | Prepared for: Capital Delivery Board</w:t>
      </w:r>
    </w:p>
    <w:p>
      <w:pPr>
        <w:pStyle w:val="Heading1"/>
      </w:pPr>
      <w:r>
        <w:t>Executive narrative</w:t>
      </w:r>
    </w:p>
    <w:p>
      <w:r>
        <w:t>The program needs management attention. Forecast cost is 4.0 percent above baseline, Building A completion is fourteen days late, and a high-risk mitigation is seven days overdue.</w:t>
      </w:r>
    </w:p>
    <w:p>
      <w:pPr>
        <w:pStyle w:val="Heading1"/>
      </w:pPr>
      <w:r>
        <w:t>Current control position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744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Field</w:t>
            </w:r>
          </w:p>
        </w:tc>
        <w:tc>
          <w:tcPr>
            <w:tcW w:type="dxa" w:w="5616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Current evidence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Reporting period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May 2026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budget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USD 4,300,000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Current forecast at completion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USD 4,472,000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Current actual cost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USD 2,530,000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milestone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Building A installation complete on 2026-05-25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Current forecast milestone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Building A installation complete on 2026-06-08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Open critical risks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Open high risks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1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High risks missing owner or mitigation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Increased high risks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New high risks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Maximum mitigation overdue days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7</w:t>
            </w:r>
          </w:p>
        </w:tc>
      </w:tr>
    </w:tbl>
    <w:p/>
    <w:p>
      <w:pPr>
        <w:pStyle w:val="Heading1"/>
      </w:pPr>
      <w:r>
        <w:t>Delivery progress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752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Measure</w:t>
            </w:r>
          </w:p>
        </w:tc>
        <w:tc>
          <w:tcPr>
            <w:tcW w:type="dxa" w:w="2304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Planned</w:t>
            </w:r>
          </w:p>
        </w:tc>
        <w:tc>
          <w:tcPr>
            <w:tcW w:type="dxa" w:w="2304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Actual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Overall progress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54%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43%</w:t>
            </w:r>
          </w:p>
        </w:tc>
      </w:tr>
    </w:tbl>
    <w:p/>
    <w:p>
      <w:pPr>
        <w:pStyle w:val="Heading1"/>
      </w:pPr>
      <w:r>
        <w:t>Management decision</w:t>
      </w:r>
    </w:p>
    <w:p>
      <w:r>
        <w:t>Approve the recovery shift and assign a due date for the overdue mitigation.</w:t>
      </w:r>
    </w:p>
    <w:p>
      <w:pPr>
        <w:pStyle w:val="Heading1"/>
      </w:pPr>
      <w:r>
        <w:t>Evidence note</w:t>
      </w:r>
    </w:p>
    <w:p>
      <w:r>
        <w:t>Read this report with the cost report, risk register, and issue log for the same reporting period. Where documents disagree, the PMO must verify the source before approving a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75569"/>
        <w:sz w:val="18"/>
      </w:rPr>
      <w:t>X-Assurance demo evidence | Monthly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Infrastructure Program May 2026 Progress Report</dc:title>
  <dc:subject>PMO monthly progress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