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0F172A"/>
          <w:sz w:val="46"/>
        </w:rPr>
        <w:t>Monthly Project Report</w:t>
      </w:r>
    </w:p>
    <w:p>
      <w:pPr>
        <w:spacing w:after="240"/>
      </w:pPr>
      <w:r>
        <w:rPr>
          <w:rFonts w:ascii="Calibri" w:hAnsi="Calibri"/>
          <w:b/>
          <w:i w:val="0"/>
          <w:color w:val="1F4D78"/>
          <w:sz w:val="28"/>
        </w:rPr>
        <w:t>Northstar Customer Platform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Document role: </w:t>
      </w:r>
      <w:r>
        <w:rPr>
          <w:rFonts w:ascii="Calibri" w:hAnsi="Calibri"/>
          <w:b w:val="0"/>
          <w:i w:val="0"/>
          <w:color w:val="0F172A"/>
          <w:sz w:val="20"/>
        </w:rPr>
        <w:t>Current monthly performance evidence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Reporting period: </w:t>
      </w:r>
      <w:r>
        <w:rPr>
          <w:rFonts w:ascii="Calibri" w:hAnsi="Calibri"/>
          <w:b w:val="0"/>
          <w:i w:val="0"/>
          <w:color w:val="0F172A"/>
          <w:sz w:val="20"/>
        </w:rPr>
        <w:t>May 2026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Reporting period key: </w:t>
      </w:r>
      <w:r>
        <w:rPr>
          <w:rFonts w:ascii="Calibri" w:hAnsi="Calibri"/>
          <w:b w:val="0"/>
          <w:i w:val="0"/>
          <w:color w:val="0F172A"/>
          <w:sz w:val="20"/>
        </w:rPr>
        <w:t>2026-05-01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 date: </w:t>
      </w:r>
      <w:r>
        <w:rPr>
          <w:rFonts w:ascii="Calibri" w:hAnsi="Calibri"/>
          <w:b w:val="0"/>
          <w:i w:val="0"/>
          <w:color w:val="0F172A"/>
          <w:sz w:val="20"/>
        </w:rPr>
        <w:t>2026-05-31</w:t>
      </w:r>
    </w:p>
    <w:p>
      <w:pPr>
        <w:spacing w:after="60"/>
      </w:pPr>
    </w:p>
    <w:p>
      <w:pPr>
        <w:spacing w:before="120" w:after="120"/>
        <w:ind w:left="202" w:right="202"/>
        <w:shd w:fill="FDECEC" w:val="clear"/>
      </w:pPr>
      <w:r>
        <w:rPr>
          <w:rFonts w:ascii="Calibri" w:hAnsi="Calibri"/>
          <w:b/>
          <w:i w:val="0"/>
          <w:color w:val="9B1C1C"/>
          <w:sz w:val="21"/>
        </w:rPr>
        <w:t xml:space="preserve">Management status: </w:t>
      </w:r>
      <w:r>
        <w:rPr>
          <w:rFonts w:ascii="Calibri" w:hAnsi="Calibri"/>
          <w:b w:val="0"/>
          <w:i w:val="0"/>
          <w:color w:val="9B1C1C"/>
          <w:sz w:val="21"/>
        </w:rPr>
        <w:t>Critical. Forecast cost is 8% above the approved budget, Go-Live is forecast 21 days late, and critical or uncontrolled risk requires escalation.</w:t>
      </w:r>
    </w:p>
    <w:p>
      <w:pPr>
        <w:pStyle w:val="Heading1"/>
      </w:pPr>
      <w:r>
        <w:t>Current control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520"/>
        <w:gridCol w:w="4320"/>
      </w:tblGrid>
      <w:tr>
        <w:trPr>
          <w:tblHeader w:val="true"/>
        </w:trPr>
        <w:tc>
          <w:tcPr>
            <w:tcW w:type="dxa" w:w="2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Measure</w:t>
            </w:r>
          </w:p>
        </w:tc>
        <w:tc>
          <w:tcPr>
            <w:tcW w:type="dxa" w:w="2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Plan / baseline</w:t>
            </w:r>
          </w:p>
        </w:tc>
        <w:tc>
          <w:tcPr>
            <w:tcW w:type="dxa" w:w="43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May current value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Budget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USD 1,200,000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Forecast at completion: USD 1,296,000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Cost to date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Actual cost: USD 690,000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Overall progress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60% planned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46% actual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Production Go-Live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2026-09-30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Forecast: 2026-10-21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Schedule movement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days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21 calendar days late</w:t>
            </w:r>
          </w:p>
        </w:tc>
      </w:tr>
    </w:tbl>
    <w:p>
      <w:pPr>
        <w:spacing w:after="20"/>
      </w:pPr>
    </w:p>
    <w:p>
      <w:pPr>
        <w:pStyle w:val="Heading1"/>
      </w:pPr>
      <w:r>
        <w:t>Current risk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1440"/>
        <w:gridCol w:w="6480"/>
      </w:tblGrid>
      <w:tr>
        <w:trPr>
          <w:tblHeader w:val="true"/>
        </w:trPr>
        <w:tc>
          <w:tcPr>
            <w:tcW w:type="dxa" w:w="14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Risk ID</w:t>
            </w:r>
          </w:p>
        </w:tc>
        <w:tc>
          <w:tcPr>
            <w:tcW w:type="dxa" w:w="14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Severity</w:t>
            </w:r>
          </w:p>
        </w:tc>
        <w:tc>
          <w:tcPr>
            <w:tcW w:type="dxa" w:w="648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Status and control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R-014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High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Open and increased; owner: Integration Lead; capacity mitigation overdue by 21 days.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R-021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Critical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Open; data migration rehearsal failed; owner: Recovery Manager; mitigation in progress.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R-022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High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Open and new; no owner and no mitigation has been assigned.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Explicit May risk counts: 1 open critical risk; 2 open high risks; 1 high risk missing an owner or mitigation; 2 increased risks; 1 new high risk; maximum mitigation overdue is 21 days.</w:t>
      </w:r>
    </w:p>
    <w:p>
      <w:pPr>
        <w:pStyle w:val="Heading1"/>
      </w:pPr>
      <w:r>
        <w:t>Required management decision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Escalate the recovery plan to the steering committee. Assign an owner and mitigation to R-022, approve the data migration recovery resources, and decide whether to rebaseline only after the impact is independently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475569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 w:val="0"/>
        <w:i w:val="0"/>
        <w:color w:val="475569"/>
        <w:sz w:val="18"/>
      </w:rPr>
      <w:t>X-Assurance demo evidence | Monthly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Customer Platform May 2026 Monthly Project Report</dc:title>
  <dc:subject>May 2026 current cost, schedule, and risk evidence</dc:subject>
  <dc:creator>X-Assurance Demo</dc:creator>
  <cp:keywords/>
  <dc:description>generated by python-docx</dc:description>
  <cp:lastModifiedBy/>
  <cp:revision>1</cp:revision>
  <dcterms:created xsi:type="dcterms:W3CDTF">2026-05-31T17:00:00Z</dcterms:created>
  <dcterms:modified xsi:type="dcterms:W3CDTF">2026-05-31T17:00:00Z</dcterms:modified>
  <cp:category/>
</cp:coreProperties>
</file>