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Monthly Project Report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Harbor City Service Portal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Current monthly performance evidence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period: </w:t>
      </w:r>
      <w:r>
        <w:rPr>
          <w:rFonts w:ascii="Calibri" w:hAnsi="Calibri"/>
          <w:b w:val="0"/>
          <w:i w:val="0"/>
          <w:color w:val="0F172A"/>
          <w:sz w:val="20"/>
        </w:rPr>
        <w:t>April 2026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 key: </w:t>
      </w:r>
      <w:r>
        <w:rPr>
          <w:rFonts w:ascii="Calibri" w:hAnsi="Calibri"/>
          <w:b w:val="0"/>
          <w:i w:val="0"/>
          <w:color w:val="0F172A"/>
          <w:sz w:val="20"/>
        </w:rPr>
        <w:t>2026-04-01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 date: </w:t>
      </w:r>
      <w:r>
        <w:rPr>
          <w:rFonts w:ascii="Calibri" w:hAnsi="Calibri"/>
          <w:b w:val="0"/>
          <w:i w:val="0"/>
          <w:color w:val="0F172A"/>
          <w:sz w:val="20"/>
        </w:rPr>
        <w:t>2026-04-30</w:t>
      </w:r>
    </w:p>
    <w:p>
      <w:pPr>
        <w:spacing w:after="60"/>
      </w:pPr>
    </w:p>
    <w:p>
      <w:pPr>
        <w:spacing w:before="120" w:after="120"/>
        <w:ind w:left="202" w:right="202"/>
        <w:shd w:fill="DCFCE7" w:val="clear"/>
      </w:pPr>
      <w:r>
        <w:rPr>
          <w:rFonts w:ascii="Calibri" w:hAnsi="Calibri"/>
          <w:b/>
          <w:i w:val="0"/>
          <w:color w:val="166534"/>
          <w:sz w:val="21"/>
        </w:rPr>
        <w:t xml:space="preserve">Management status: </w:t>
      </w:r>
      <w:r>
        <w:rPr>
          <w:rFonts w:ascii="Calibri" w:hAnsi="Calibri"/>
          <w:b w:val="0"/>
          <w:i w:val="0"/>
          <w:color w:val="166534"/>
          <w:sz w:val="21"/>
        </w:rPr>
        <w:t>On track. Forecast cost remains below the approved budget, Go-Live is forecast 5 days early, and the known high risk is controlled.</w:t>
      </w:r>
    </w:p>
    <w:p>
      <w:pPr>
        <w:pStyle w:val="Heading1"/>
      </w:pPr>
      <w:r>
        <w:t>Current control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432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Measure</w:t>
            </w:r>
          </w:p>
        </w:tc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Plan / baseline</w:t>
            </w:r>
          </w:p>
        </w:tc>
        <w:tc>
          <w:tcPr>
            <w:tcW w:type="dxa" w:w="43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April current value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Budget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1,000,000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 at completion: USD 980,000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Cost to date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Actual cost: USD 372,000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Overall progress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40% planned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42% actual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Forecast: 2026-09-25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Schedule movement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days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 calendar days early</w:t>
            </w:r>
          </w:p>
        </w:tc>
      </w:tr>
    </w:tbl>
    <w:p>
      <w:pPr>
        <w:spacing w:after="20"/>
      </w:pPr>
    </w:p>
    <w:p>
      <w:pPr>
        <w:pStyle w:val="Heading1"/>
      </w:pPr>
      <w:r>
        <w:t>Current risk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6480"/>
      </w:tblGrid>
      <w:tr>
        <w:trPr>
          <w:tblHeader w:val="true"/>
        </w:trPr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ID</w:t>
            </w:r>
          </w:p>
        </w:tc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Severity</w:t>
            </w:r>
          </w:p>
        </w:tc>
        <w:tc>
          <w:tcPr>
            <w:tcW w:type="dxa" w:w="64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 and control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R-006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and stable; owner: Service Lead; mitigation: weekly adoption review; due 2026-06-15.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Explicit April risk counts: 0 open critical risks; 1 open high risk; 0 high risks missing an owner or mitigation; 0 increased risks; 0 new high risks; maximum mitigation overdue is 0 days.</w:t>
      </w:r>
    </w:p>
    <w:p>
      <w:pPr>
        <w:pStyle w:val="Heading1"/>
      </w:pPr>
      <w:r>
        <w:t>PMO decision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Maintain the approved baseline. Continue the weekly adoption review and preserve the current delivery sequence because cost, schedule, and risk controls remain within the approved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Monthly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City Service Portal April 2026 Monthly Project Report</dc:title>
  <dc:subject>April 2026 current cost, schedule, and risk evidence</dc:subject>
  <dc:creator>X-Assurance Demo</dc:creator>
  <cp:keywords/>
  <dc:description>generated by python-docx</dc:description>
  <cp:lastModifiedBy/>
  <cp:revision>1</cp:revision>
  <dcterms:created xsi:type="dcterms:W3CDTF">2026-04-30T17:00:00Z</dcterms:created>
  <dcterms:modified xsi:type="dcterms:W3CDTF">2026-04-30T17:00:00Z</dcterms:modified>
  <cp:category/>
</cp:coreProperties>
</file>