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0F172A"/>
          <w:sz w:val="46"/>
        </w:rPr>
        <w:t>Monthly Project Report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28"/>
        </w:rPr>
        <w:t>Harbor City Service Portal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Document role: </w:t>
      </w:r>
      <w:r>
        <w:rPr>
          <w:rFonts w:ascii="Calibri" w:hAnsi="Calibri"/>
          <w:b w:val="0"/>
          <w:i w:val="0"/>
          <w:color w:val="0F172A"/>
          <w:sz w:val="20"/>
        </w:rPr>
        <w:t>Current monthly performance evidence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Reporting period: </w:t>
      </w:r>
      <w:r>
        <w:rPr>
          <w:rFonts w:ascii="Calibri" w:hAnsi="Calibri"/>
          <w:b w:val="0"/>
          <w:i w:val="0"/>
          <w:color w:val="0F172A"/>
          <w:sz w:val="20"/>
        </w:rPr>
        <w:t>May 2026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Reporting period key: </w:t>
      </w:r>
      <w:r>
        <w:rPr>
          <w:rFonts w:ascii="Calibri" w:hAnsi="Calibri"/>
          <w:b w:val="0"/>
          <w:i w:val="0"/>
          <w:color w:val="0F172A"/>
          <w:sz w:val="20"/>
        </w:rPr>
        <w:t>2026-05-01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Report date: </w:t>
      </w:r>
      <w:r>
        <w:rPr>
          <w:rFonts w:ascii="Calibri" w:hAnsi="Calibri"/>
          <w:b w:val="0"/>
          <w:i w:val="0"/>
          <w:color w:val="0F172A"/>
          <w:sz w:val="20"/>
        </w:rPr>
        <w:t>2026-05-31</w:t>
      </w:r>
    </w:p>
    <w:p>
      <w:pPr>
        <w:spacing w:after="60"/>
      </w:pPr>
    </w:p>
    <w:p>
      <w:pPr>
        <w:spacing w:before="120" w:after="120"/>
        <w:ind w:left="202" w:right="202"/>
        <w:shd w:fill="DCFCE7" w:val="clear"/>
      </w:pPr>
      <w:r>
        <w:rPr>
          <w:rFonts w:ascii="Calibri" w:hAnsi="Calibri"/>
          <w:b/>
          <w:i w:val="0"/>
          <w:color w:val="166534"/>
          <w:sz w:val="21"/>
        </w:rPr>
        <w:t xml:space="preserve">Management status: </w:t>
      </w:r>
      <w:r>
        <w:rPr>
          <w:rFonts w:ascii="Calibri" w:hAnsi="Calibri"/>
          <w:b w:val="0"/>
          <w:i w:val="0"/>
          <w:color w:val="166534"/>
          <w:sz w:val="21"/>
        </w:rPr>
        <w:t>On track. Forecast cost improved to 4% below budget, delivery is forecast 10 days early, and no critical or uncontrolled risk is open.</w:t>
      </w:r>
    </w:p>
    <w:p>
      <w:pPr>
        <w:pStyle w:val="Heading1"/>
      </w:pPr>
      <w:r>
        <w:t>Current control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520"/>
        <w:gridCol w:w="4320"/>
      </w:tblGrid>
      <w:tr>
        <w:trPr>
          <w:tblHeader w:val="true"/>
        </w:trPr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Measure</w:t>
            </w:r>
          </w:p>
        </w:tc>
        <w:tc>
          <w:tcPr>
            <w:tcW w:type="dxa" w:w="2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Plan / baseline</w:t>
            </w:r>
          </w:p>
        </w:tc>
        <w:tc>
          <w:tcPr>
            <w:tcW w:type="dxa" w:w="43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May current value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Budget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USD 1,000,000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Forecast at completion: USD 960,000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Cost to date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-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Actual cost: USD 558,000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Overall progress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60% planned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64% actual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Production Go-Live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2026-09-30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Forecast: 2026-09-20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Schedule movement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days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 calendar days early</w:t>
            </w:r>
          </w:p>
        </w:tc>
      </w:tr>
    </w:tbl>
    <w:p>
      <w:pPr>
        <w:spacing w:after="20"/>
      </w:pPr>
    </w:p>
    <w:p>
      <w:pPr>
        <w:pStyle w:val="Heading1"/>
      </w:pPr>
      <w:r>
        <w:t>Current risk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440"/>
        <w:gridCol w:w="6480"/>
      </w:tblGrid>
      <w:tr>
        <w:trPr>
          <w:tblHeader w:val="true"/>
        </w:trPr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Risk ID</w:t>
            </w:r>
          </w:p>
        </w:tc>
        <w:tc>
          <w:tcPr>
            <w:tcW w:type="dxa" w:w="14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Severity</w:t>
            </w:r>
          </w:p>
        </w:tc>
        <w:tc>
          <w:tcPr>
            <w:tcW w:type="dxa" w:w="648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 and control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R-006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High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 and stable; owner: Service Lead; mitigation: weekly adoption review; due 2026-06-15.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Explicit May risk counts: 0 open critical risks; 1 open high risk; 0 high risks missing an owner or mitigation; 0 increased risks; 0 new high risks; maximum mitigation overdue is 0 days.</w:t>
      </w:r>
    </w:p>
    <w:p>
      <w:pPr>
        <w:pStyle w:val="Heading1"/>
      </w:pPr>
      <w:r>
        <w:t>PMO decision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Maintain the approved baseline and current delivery approach. Keep R-006 under weekly review while protecting the cost saving and the 10-day schedule buffer through final readiness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475569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 w:val="0"/>
        <w:i w:val="0"/>
        <w:color w:val="475569"/>
        <w:sz w:val="18"/>
      </w:rPr>
      <w:t>X-Assurance demo evidence | Monthly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City Service Portal May 2026 Monthly Project Report</dc:title>
  <dc:subject>May 2026 current cost, schedule, and risk evidence</dc:subject>
  <dc:creator>X-Assurance Demo</dc:creator>
  <cp:keywords/>
  <dc:description>generated by python-docx</dc:description>
  <cp:lastModifiedBy/>
  <cp:revision>1</cp:revision>
  <dcterms:created xsi:type="dcterms:W3CDTF">2026-05-31T17:00:00Z</dcterms:created>
  <dcterms:modified xsi:type="dcterms:W3CDTF">2026-05-31T17:00:00Z</dcterms:modified>
  <cp:category/>
</cp:coreProperties>
</file>