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F172A"/>
          <w:sz w:val="48"/>
        </w:rPr>
        <w:t>Monthly Progress Report</w:t>
      </w:r>
    </w:p>
    <w:p>
      <w:pPr>
        <w:spacing w:after="60"/>
      </w:pPr>
      <w:r>
        <w:rPr>
          <w:rFonts w:ascii="Calibri" w:hAnsi="Calibri"/>
          <w:b/>
          <w:color w:val="1D4ED8"/>
          <w:sz w:val="28"/>
        </w:rPr>
        <w:t>Riverside Data Hub</w:t>
      </w:r>
    </w:p>
    <w:p>
      <w:pPr>
        <w:spacing w:after="280"/>
      </w:pPr>
      <w:r>
        <w:rPr>
          <w:rFonts w:ascii="Calibri" w:hAnsi="Calibri"/>
          <w:color w:val="475569"/>
          <w:sz w:val="18"/>
        </w:rPr>
        <w:t>Reporting period: March 2026 | Prepared for: Customer Operations Directorate</w:t>
      </w:r>
    </w:p>
    <w:p>
      <w:pPr>
        <w:pStyle w:val="Heading1"/>
      </w:pPr>
      <w:r>
        <w:t>Executive narrative</w:t>
      </w:r>
    </w:p>
    <w:p>
      <w:r>
        <w:t>API integration completed ahead of its checkpoint. Forecast cost remains below baseline, operational readiness remains on plan, and no uncontrolled high or critical risk is open.</w:t>
      </w:r>
    </w:p>
    <w:p>
      <w:pPr>
        <w:pStyle w:val="Heading1"/>
      </w:pPr>
      <w:r>
        <w:t>Current control position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74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Field</w:t>
            </w:r>
          </w:p>
        </w:tc>
        <w:tc>
          <w:tcPr>
            <w:tcW w:type="dxa" w:w="5616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Current evidence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Reporting period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March 2026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Approved budget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USD 500,000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Current forecast at completion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USD 487,000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Current actual cost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USD 368,000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Approved milestone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Operational readiness review on 2026-04-18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Current forecast milestone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Operational readiness review on 2026-04-18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Open critical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Open high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High risks missing owner or mitigation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Increased high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New high risks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0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Maximum mitigation overdue days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0</w:t>
            </w:r>
          </w:p>
        </w:tc>
      </w:tr>
    </w:tbl>
    <w:p/>
    <w:p>
      <w:pPr>
        <w:pStyle w:val="Heading1"/>
      </w:pPr>
      <w:r>
        <w:t>Delivery progress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4752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Measure</w:t>
            </w:r>
          </w:p>
        </w:tc>
        <w:tc>
          <w:tcPr>
            <w:tcW w:type="dxa" w:w="230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Planned</w:t>
            </w:r>
          </w:p>
        </w:tc>
        <w:tc>
          <w:tcPr>
            <w:tcW w:type="dxa" w:w="2304"/>
            <w:vAlign w:val="center"/>
            <w:shd w:fill="F1F5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8"/>
              </w:rPr>
              <w:t>Actual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Overall progress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60%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F172A"/>
                <w:sz w:val="18"/>
              </w:rPr>
              <w:t>62%</w:t>
            </w:r>
          </w:p>
        </w:tc>
      </w:tr>
    </w:tbl>
    <w:p/>
    <w:p>
      <w:pPr>
        <w:pStyle w:val="Heading1"/>
      </w:pPr>
      <w:r>
        <w:t>Management decision</w:t>
      </w:r>
    </w:p>
    <w:p>
      <w:r>
        <w:t>No management decision is required. Maintain readiness evidence through the April review.</w:t>
      </w:r>
    </w:p>
    <w:p>
      <w:pPr>
        <w:pStyle w:val="Heading1"/>
      </w:pPr>
      <w:r>
        <w:t>Evidence note</w:t>
      </w:r>
    </w:p>
    <w:p>
      <w:r>
        <w:t>Read this report with the cost report, risk register, and issue log for the same reporting period. Where documents disagree, the PMO must verify the source before approving a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475569"/>
        <w:sz w:val="18"/>
      </w:rPr>
      <w:t>X-Assurance demo evidence | Monthly progress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Riverside Data Hub March 2026 Progress Report</dc:title>
  <dc:subject>PMO monthly progress evidence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