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/>
          <w:b/>
          <w:color w:val="0F172A"/>
          <w:sz w:val="48"/>
        </w:rPr>
        <w:t>Project Baseline</w:t>
      </w:r>
    </w:p>
    <w:p>
      <w:pPr>
        <w:spacing w:after="60"/>
      </w:pPr>
      <w:r>
        <w:rPr>
          <w:rFonts w:ascii="Calibri" w:hAnsi="Calibri"/>
          <w:b/>
          <w:color w:val="1D4ED8"/>
          <w:sz w:val="28"/>
        </w:rPr>
        <w:t>Orion ERP Recovery</w:t>
      </w:r>
    </w:p>
    <w:p>
      <w:pPr>
        <w:spacing w:after="280"/>
      </w:pPr>
      <w:r>
        <w:rPr>
          <w:rFonts w:ascii="Calibri" w:hAnsi="Calibri"/>
          <w:color w:val="475569"/>
          <w:sz w:val="18"/>
        </w:rPr>
        <w:t>Approval status: Approved | Assurance cadence: Monthly</w:t>
      </w:r>
    </w:p>
    <w:p>
      <w:r>
        <w:t>This document is the approved reference for cost, schedule, and risk comparison. Current reports must not replace these baseline values.</w:t>
      </w:r>
    </w:p>
    <w:p>
      <w:pPr>
        <w:pStyle w:val="Heading1"/>
      </w:pPr>
      <w:r>
        <w:t>Approved control profile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736"/>
            <w:vAlign w:val="center"/>
            <w:shd w:fill="F1F5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F172A"/>
                <w:sz w:val="18"/>
              </w:rPr>
              <w:t>Field</w:t>
            </w:r>
          </w:p>
        </w:tc>
        <w:tc>
          <w:tcPr>
            <w:tcW w:type="dxa" w:w="6624"/>
            <w:vAlign w:val="center"/>
            <w:shd w:fill="F1F5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F172A"/>
                <w:sz w:val="18"/>
              </w:rPr>
              <w:t>Approved value</w:t>
            </w:r>
          </w:p>
        </w:tc>
      </w:tr>
      <w:tr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F172A"/>
                <w:sz w:val="18"/>
              </w:rPr>
              <w:t>Project</w:t>
            </w:r>
          </w:p>
        </w:tc>
        <w:tc>
          <w:tcPr>
            <w:tcW w:type="dxa" w:w="6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F172A"/>
                <w:sz w:val="18"/>
              </w:rPr>
              <w:t>Orion ERP Recovery</w:t>
            </w:r>
          </w:p>
        </w:tc>
      </w:tr>
      <w:tr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F172A"/>
                <w:sz w:val="18"/>
              </w:rPr>
              <w:t>Sector</w:t>
            </w:r>
          </w:p>
        </w:tc>
        <w:tc>
          <w:tcPr>
            <w:tcW w:type="dxa" w:w="6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F172A"/>
                <w:sz w:val="18"/>
              </w:rPr>
              <w:t>Enterprise systems transformation</w:t>
            </w:r>
          </w:p>
        </w:tc>
      </w:tr>
      <w:tr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F172A"/>
                <w:sz w:val="18"/>
              </w:rPr>
              <w:t>Sponsor</w:t>
            </w:r>
          </w:p>
        </w:tc>
        <w:tc>
          <w:tcPr>
            <w:tcW w:type="dxa" w:w="6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F172A"/>
                <w:sz w:val="18"/>
              </w:rPr>
              <w:t>Finance Transformation Steering Committee</w:t>
            </w:r>
          </w:p>
        </w:tc>
      </w:tr>
      <w:tr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F172A"/>
                <w:sz w:val="18"/>
              </w:rPr>
              <w:t>Project manager</w:t>
            </w:r>
          </w:p>
        </w:tc>
        <w:tc>
          <w:tcPr>
            <w:tcW w:type="dxa" w:w="6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F172A"/>
                <w:sz w:val="18"/>
              </w:rPr>
              <w:t>Leon Hartono</w:t>
            </w:r>
          </w:p>
        </w:tc>
      </w:tr>
      <w:tr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F172A"/>
                <w:sz w:val="18"/>
              </w:rPr>
              <w:t>Approved budget</w:t>
            </w:r>
          </w:p>
        </w:tc>
        <w:tc>
          <w:tcPr>
            <w:tcW w:type="dxa" w:w="6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F172A"/>
                <w:sz w:val="18"/>
              </w:rPr>
              <w:t>USD 900,000</w:t>
            </w:r>
          </w:p>
        </w:tc>
      </w:tr>
      <w:tr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F172A"/>
                <w:sz w:val="18"/>
              </w:rPr>
              <w:t>Approved milestone</w:t>
            </w:r>
          </w:p>
        </w:tc>
        <w:tc>
          <w:tcPr>
            <w:tcW w:type="dxa" w:w="6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F172A"/>
                <w:sz w:val="18"/>
              </w:rPr>
              <w:t>Release 2 go-live</w:t>
            </w:r>
          </w:p>
        </w:tc>
      </w:tr>
      <w:tr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F172A"/>
                <w:sz w:val="18"/>
              </w:rPr>
              <w:t>Approved milestone date</w:t>
            </w:r>
          </w:p>
        </w:tc>
        <w:tc>
          <w:tcPr>
            <w:tcW w:type="dxa" w:w="6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F172A"/>
                <w:sz w:val="18"/>
              </w:rPr>
              <w:t>2026-07-01</w:t>
            </w:r>
          </w:p>
        </w:tc>
      </w:tr>
    </w:tbl>
    <w:p/>
    <w:p>
      <w:pPr>
        <w:pStyle w:val="Heading1"/>
      </w:pPr>
      <w:r>
        <w:t>Approved risk posture</w:t>
      </w:r>
    </w:p>
    <w:p>
      <w:r>
        <w:t>The approved recovery plan contains no critical risks. Migration reconciliation is a high risk with a named owner and mitigation.</w:t>
      </w:r>
    </w:p>
    <w:p>
      <w:pPr>
        <w:pStyle w:val="Heading1"/>
      </w:pPr>
      <w:r>
        <w:t>Assurance requirements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016"/>
            <w:vAlign w:val="center"/>
            <w:shd w:fill="F1F5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F172A"/>
                <w:sz w:val="18"/>
              </w:rPr>
              <w:t>Control</w:t>
            </w:r>
          </w:p>
        </w:tc>
        <w:tc>
          <w:tcPr>
            <w:tcW w:type="dxa" w:w="7344"/>
            <w:vAlign w:val="center"/>
            <w:shd w:fill="F1F5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F172A"/>
                <w:sz w:val="18"/>
              </w:rPr>
              <w:t>Requirement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F172A"/>
                <w:sz w:val="18"/>
              </w:rPr>
              <w:t>Cost</w:t>
            </w:r>
          </w:p>
        </w:tc>
        <w:tc>
          <w:tcPr>
            <w:tcW w:type="dxa" w:w="73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F172A"/>
                <w:sz w:val="18"/>
              </w:rPr>
              <w:t>Compare forecast at completion with the approved budget.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F172A"/>
                <w:sz w:val="18"/>
              </w:rPr>
              <w:t>Schedule</w:t>
            </w:r>
          </w:p>
        </w:tc>
        <w:tc>
          <w:tcPr>
            <w:tcW w:type="dxa" w:w="73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F172A"/>
                <w:sz w:val="18"/>
              </w:rPr>
              <w:t>Compare the current forecast date with the approved milestone date.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F172A"/>
                <w:sz w:val="18"/>
              </w:rPr>
              <w:t>Risk</w:t>
            </w:r>
          </w:p>
        </w:tc>
        <w:tc>
          <w:tcPr>
            <w:tcW w:type="dxa" w:w="73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F172A"/>
                <w:sz w:val="18"/>
              </w:rPr>
              <w:t>Escalate critical risks and high risks that lack an owner or mitigation.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F172A"/>
                <w:sz w:val="18"/>
              </w:rPr>
              <w:t>Evidence</w:t>
            </w:r>
          </w:p>
        </w:tc>
        <w:tc>
          <w:tcPr>
            <w:tcW w:type="dxa" w:w="73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F172A"/>
                <w:sz w:val="18"/>
              </w:rPr>
              <w:t>Every conclusion must remain traceable to the source document.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475569"/>
        <w:sz w:val="18"/>
      </w:rPr>
      <w:t xml:space="preserve">Page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color w:val="475569"/>
        <w:sz w:val="18"/>
      </w:rPr>
      <w:t>X-Assurance demo evidence | Approved baseline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color w:val="0F17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D4ED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D4ED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E3A5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Orion ERP Recovery Project Baseline</dc:title>
  <dc:subject>Approved PMO baseline evidence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