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F172A"/>
          <w:sz w:val="48"/>
        </w:rPr>
        <w:t>Monthly Progress Report</w:t>
      </w:r>
    </w:p>
    <w:p>
      <w:pPr>
        <w:spacing w:after="60"/>
      </w:pPr>
      <w:r>
        <w:rPr>
          <w:rFonts w:ascii="Calibri" w:hAnsi="Calibri"/>
          <w:b/>
          <w:color w:val="1D4ED8"/>
          <w:sz w:val="28"/>
        </w:rPr>
        <w:t>Orion ERP Recovery</w:t>
      </w:r>
    </w:p>
    <w:p>
      <w:pPr>
        <w:spacing w:after="280"/>
      </w:pPr>
      <w:r>
        <w:rPr>
          <w:rFonts w:ascii="Calibri" w:hAnsi="Calibri"/>
          <w:color w:val="475569"/>
          <w:sz w:val="18"/>
        </w:rPr>
        <w:t>Reporting period: June 2026 | Prepared for: Finance Transformation Steering Committee</w:t>
      </w:r>
    </w:p>
    <w:p>
      <w:pPr>
        <w:pStyle w:val="Heading1"/>
      </w:pPr>
      <w:r>
        <w:t>Executive narrative</w:t>
      </w:r>
    </w:p>
    <w:p>
      <w:r>
        <w:t>Immediate management escalation is required. Forecast cost is 8.0 percent above baseline, go-live is twenty-one days late, and an open critical migration risk has no owner.</w:t>
      </w:r>
    </w:p>
    <w:p>
      <w:pPr>
        <w:pStyle w:val="Heading1"/>
      </w:pPr>
      <w:r>
        <w:t>Current control position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3744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Field</w:t>
            </w:r>
          </w:p>
        </w:tc>
        <w:tc>
          <w:tcPr>
            <w:tcW w:type="dxa" w:w="5616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Current evidence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Reporting period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June 2026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Approved budget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USD 900,000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Current forecast at completion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USD 972,000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Current actual cost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USD 720,000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Approved milestone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Release 2 go-live on 2026-07-01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Current forecast milestone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Release 2 go-live on 2026-07-22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Open critical risks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1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Open high risks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1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High risks missing owner or mitigation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1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Increased high risks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1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New high risks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1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Maximum mitigation overdue days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21</w:t>
            </w:r>
          </w:p>
        </w:tc>
      </w:tr>
    </w:tbl>
    <w:p/>
    <w:p>
      <w:pPr>
        <w:pStyle w:val="Heading1"/>
      </w:pPr>
      <w:r>
        <w:t>Delivery progress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4752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Measure</w:t>
            </w:r>
          </w:p>
        </w:tc>
        <w:tc>
          <w:tcPr>
            <w:tcW w:type="dxa" w:w="2304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Planned</w:t>
            </w:r>
          </w:p>
        </w:tc>
        <w:tc>
          <w:tcPr>
            <w:tcW w:type="dxa" w:w="2304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Actual</w:t>
            </w:r>
          </w:p>
        </w:tc>
      </w:tr>
      <w:tr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Overall progress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59%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31%</w:t>
            </w:r>
          </w:p>
        </w:tc>
      </w:tr>
    </w:tbl>
    <w:p/>
    <w:p>
      <w:pPr>
        <w:pStyle w:val="Heading1"/>
      </w:pPr>
      <w:r>
        <w:t>Management decision</w:t>
      </w:r>
    </w:p>
    <w:p>
      <w:r>
        <w:t>Approve a recovery baseline, appoint one accountable owner, and decide whether to defer go-live.</w:t>
      </w:r>
    </w:p>
    <w:p>
      <w:pPr>
        <w:pStyle w:val="Heading1"/>
      </w:pPr>
      <w:r>
        <w:t>Evidence note</w:t>
      </w:r>
    </w:p>
    <w:p>
      <w:r>
        <w:t>Read this report with the cost report, risk register, and issue log for the same reporting period. Where documents disagree, the PMO must verify the source before approving a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475569"/>
        <w:sz w:val="18"/>
      </w:rPr>
      <w:t>X-Assurance demo evidence | Monthly progress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Orion ERP Recovery June 2026 Progress Report</dc:title>
  <dc:subject>PMO monthly progress evidence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