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F4E79"/>
          <w:sz w:val="44"/>
        </w:rPr>
        <w:t>Project Baseline</w:t>
      </w:r>
    </w:p>
    <w:p>
      <w:r>
        <w:rPr>
          <w:color w:val="595959"/>
          <w:sz w:val="22"/>
        </w:rPr>
        <w:t>Riverside Data Hub</w:t>
      </w:r>
    </w:p>
    <w:p>
      <w:r>
        <w:t>This baseline defines the approved delivery reference used by the PMO to compare current performance against expected schedule, cost, governance, and assurance evidence.</w:t>
      </w:r>
    </w:p>
    <w:p>
      <w:pPr>
        <w:pStyle w:val="Heading1"/>
      </w:pPr>
      <w:r>
        <w:t>Project Control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912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t>Project Name</w:t>
            </w:r>
          </w:p>
        </w:tc>
        <w:tc>
          <w:tcPr>
            <w:tcW w:type="dxa" w:w="6912"/>
          </w:tcPr>
          <w:p>
            <w:r>
              <w:t>Riverside Data Hub</w:t>
            </w:r>
          </w:p>
        </w:tc>
      </w:tr>
      <w:tr>
        <w:tc>
          <w:tcPr>
            <w:tcW w:type="dxa" w:w="2880"/>
          </w:tcPr>
          <w:p>
            <w:r>
              <w:t>Sector</w:t>
            </w:r>
          </w:p>
        </w:tc>
        <w:tc>
          <w:tcPr>
            <w:tcW w:type="dxa" w:w="6912"/>
          </w:tcPr>
          <w:p>
            <w:r>
              <w:t>Digital services and data platform</w:t>
            </w:r>
          </w:p>
        </w:tc>
      </w:tr>
      <w:tr>
        <w:tc>
          <w:tcPr>
            <w:tcW w:type="dxa" w:w="2880"/>
          </w:tcPr>
          <w:p>
            <w:r>
              <w:t>Sponsor</w:t>
            </w:r>
          </w:p>
        </w:tc>
        <w:tc>
          <w:tcPr>
            <w:tcW w:type="dxa" w:w="6912"/>
          </w:tcPr>
          <w:p>
            <w:r>
              <w:t>Customer Operations Directorate</w:t>
            </w:r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6912"/>
          </w:tcPr>
          <w:p>
            <w:r>
              <w:t>Maya Prasetyo</w:t>
            </w:r>
          </w:p>
        </w:tc>
      </w:tr>
      <w:tr>
        <w:tc>
          <w:tcPr>
            <w:tcW w:type="dxa" w:w="2880"/>
          </w:tcPr>
          <w:p>
            <w:r>
              <w:t>Baseline Budget USD</w:t>
            </w:r>
          </w:p>
        </w:tc>
        <w:tc>
          <w:tcPr>
            <w:tcW w:type="dxa" w:w="6912"/>
          </w:tcPr>
          <w:p>
            <w:r>
              <w:t>500,000</w:t>
            </w:r>
          </w:p>
        </w:tc>
      </w:tr>
      <w:tr>
        <w:tc>
          <w:tcPr>
            <w:tcW w:type="dxa" w:w="2880"/>
          </w:tcPr>
          <w:p>
            <w:r>
              <w:t>Assurance Cadence</w:t>
            </w:r>
          </w:p>
        </w:tc>
        <w:tc>
          <w:tcPr>
            <w:tcW w:type="dxa" w:w="6912"/>
          </w:tcPr>
          <w:p>
            <w:r>
              <w:t>Monthly PMO checkpoint with evidence-backed executive summary</w:t>
            </w:r>
          </w:p>
        </w:tc>
      </w:tr>
    </w:tbl>
    <w:p/>
    <w:p>
      <w:pPr>
        <w:pStyle w:val="Heading1"/>
      </w:pPr>
      <w:r>
        <w:t>Baseline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Baseline Date</w:t>
            </w:r>
          </w:p>
        </w:tc>
        <w:tc>
          <w:tcPr>
            <w:tcW w:type="dxa" w:w="1584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Planning Note</w:t>
            </w:r>
          </w:p>
        </w:tc>
      </w:tr>
      <w:tr>
        <w:tc>
          <w:tcPr>
            <w:tcW w:type="dxa" w:w="3456"/>
          </w:tcPr>
          <w:p>
            <w:r>
              <w:t>Requirements baseline approved</w:t>
            </w:r>
          </w:p>
        </w:tc>
        <w:tc>
          <w:tcPr>
            <w:tcW w:type="dxa" w:w="1728"/>
          </w:tcPr>
          <w:p>
            <w:r>
              <w:t>2026-01-20</w:t>
            </w:r>
          </w:p>
        </w:tc>
        <w:tc>
          <w:tcPr>
            <w:tcW w:type="dxa" w:w="1584"/>
          </w:tcPr>
          <w:p>
            <w:r>
              <w:t>Baseline</w:t>
            </w:r>
          </w:p>
        </w:tc>
        <w:tc>
          <w:tcPr>
            <w:tcW w:type="dxa" w:w="3456"/>
          </w:tcPr>
          <w:p>
            <w:r>
              <w:t>Scope signed off by product and operations</w:t>
            </w:r>
          </w:p>
        </w:tc>
      </w:tr>
      <w:tr>
        <w:tc>
          <w:tcPr>
            <w:tcW w:type="dxa" w:w="3456"/>
          </w:tcPr>
          <w:p>
            <w:r>
              <w:t>Data ingestion foundation complete</w:t>
            </w:r>
          </w:p>
        </w:tc>
        <w:tc>
          <w:tcPr>
            <w:tcW w:type="dxa" w:w="1728"/>
          </w:tcPr>
          <w:p>
            <w:r>
              <w:t>2026-02-28</w:t>
            </w:r>
          </w:p>
        </w:tc>
        <w:tc>
          <w:tcPr>
            <w:tcW w:type="dxa" w:w="1584"/>
          </w:tcPr>
          <w:p>
            <w:r>
              <w:t>Baseline</w:t>
            </w:r>
          </w:p>
        </w:tc>
        <w:tc>
          <w:tcPr>
            <w:tcW w:type="dxa" w:w="3456"/>
          </w:tcPr>
          <w:p>
            <w:r>
              <w:t>Core ingestion service and schema controls</w:t>
            </w:r>
          </w:p>
        </w:tc>
      </w:tr>
      <w:tr>
        <w:tc>
          <w:tcPr>
            <w:tcW w:type="dxa" w:w="3456"/>
          </w:tcPr>
          <w:p>
            <w:r>
              <w:t>API integration checkpoint</w:t>
            </w:r>
          </w:p>
        </w:tc>
        <w:tc>
          <w:tcPr>
            <w:tcW w:type="dxa" w:w="1728"/>
          </w:tcPr>
          <w:p>
            <w:r>
              <w:t>2026-03-15</w:t>
            </w:r>
          </w:p>
        </w:tc>
        <w:tc>
          <w:tcPr>
            <w:tcW w:type="dxa" w:w="1584"/>
          </w:tcPr>
          <w:p>
            <w:r>
              <w:t>Baseline</w:t>
            </w:r>
          </w:p>
        </w:tc>
        <w:tc>
          <w:tcPr>
            <w:tcW w:type="dxa" w:w="3456"/>
          </w:tcPr>
          <w:p>
            <w:r>
              <w:t>External service integration and load test</w:t>
            </w:r>
          </w:p>
        </w:tc>
      </w:tr>
      <w:tr>
        <w:tc>
          <w:tcPr>
            <w:tcW w:type="dxa" w:w="3456"/>
          </w:tcPr>
          <w:p>
            <w:r>
              <w:t>Operational readiness review</w:t>
            </w:r>
          </w:p>
        </w:tc>
        <w:tc>
          <w:tcPr>
            <w:tcW w:type="dxa" w:w="1728"/>
          </w:tcPr>
          <w:p>
            <w:r>
              <w:t>2026-04-18</w:t>
            </w:r>
          </w:p>
        </w:tc>
        <w:tc>
          <w:tcPr>
            <w:tcW w:type="dxa" w:w="1584"/>
          </w:tcPr>
          <w:p>
            <w:r>
              <w:t>Baseline</w:t>
            </w:r>
          </w:p>
        </w:tc>
        <w:tc>
          <w:tcPr>
            <w:tcW w:type="dxa" w:w="3456"/>
          </w:tcPr>
          <w:p>
            <w:r>
              <w:t>Runbook and support readiness approval</w:t>
            </w:r>
          </w:p>
        </w:tc>
      </w:tr>
    </w:tbl>
    <w:p/>
    <w:p>
      <w:pPr>
        <w:pStyle w:val="Heading1"/>
      </w:pPr>
      <w:r>
        <w:t>Governance and Assurance Requirements</w:t>
      </w:r>
    </w:p>
    <w:p>
      <w:pPr>
        <w:pStyle w:val="ListBullet"/>
      </w:pPr>
      <w:r>
        <w:t>Monthly executive summary must compare planned progress, actual progress, cost forecast, active risk exposure, and evidence readiness.</w:t>
      </w:r>
    </w:p>
    <w:p>
      <w:pPr>
        <w:pStyle w:val="ListBullet"/>
      </w:pPr>
      <w:r>
        <w:t>Schedule variance above 10 days or a missed dependency milestone requires a named recovery owner.</w:t>
      </w:r>
    </w:p>
    <w:p>
      <w:pPr>
        <w:pStyle w:val="ListBullet"/>
      </w:pPr>
      <w:r>
        <w:t>Forecast cost above approved baseline requires finance review and mitigation options.</w:t>
      </w:r>
    </w:p>
    <w:p>
      <w:pPr>
        <w:pStyle w:val="ListBullet"/>
      </w:pPr>
      <w:r>
        <w:t>High risks, overdue high-severity issues, and missing decision evidence must be escalated to the sponsor or steering committee.</w:t>
      </w:r>
    </w:p>
    <w:p>
      <w:pPr>
        <w:pStyle w:val="ListBullet"/>
      </w:pPr>
      <w:r>
        <w:t>Every management finding should be traceable to a source document, register, or approved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Riverside Data Hub Project Baseline</dc:title>
  <dc:subject>PMO project baseline evidence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