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4E79"/>
          <w:sz w:val="44"/>
        </w:rPr>
        <w:t>Monthly Progress Report</w:t>
      </w:r>
    </w:p>
    <w:p>
      <w:r>
        <w:rPr>
          <w:color w:val="595959"/>
          <w:sz w:val="22"/>
        </w:rPr>
        <w:t>Riverside Data Hub</w:t>
      </w:r>
    </w:p>
    <w:p>
      <w:pPr>
        <w:pStyle w:val="Heading1"/>
      </w:pPr>
      <w:r>
        <w:t>Executive Narrative</w:t>
      </w:r>
    </w:p>
    <w:p>
      <w:r>
        <w:t>Delivery remains controlled. The team completed the API integration milestone ahead of the March checkpoint, expenditure remains below the approved baseline, and the evidence pack is current for requirements, design review, and test planning.</w:t>
      </w:r>
    </w:p>
    <w:p>
      <w:pPr>
        <w:pStyle w:val="Heading1"/>
      </w:pPr>
      <w:r>
        <w:t>Current Control Position</w:t>
      </w:r>
    </w:p>
    <w:tbl>
      <w:tblPr>
        <w:tblStyle w:val="TableGrid"/>
        <w:tblW w:type="auto" w:w="0"/>
        <w:tblLook w:firstColumn="1" w:firstRow="1" w:lastColumn="0" w:lastRow="0" w:noHBand="0" w:noVBand="1" w:val="04A0"/>
      </w:tblPr>
      <w:tblGrid>
        <w:gridCol w:w="4320"/>
        <w:gridCol w:w="4320"/>
      </w:tblGrid>
      <w:tr>
        <w:tc>
          <w:tcPr>
            <w:tcW w:type="dxa" w:w="3024"/>
            <w:shd w:fill="D9EAF7"/>
          </w:tcPr>
          <w:p>
            <w:r>
              <w:rPr>
                <w:b/>
              </w:rPr>
              <w:t>Field</w:t>
            </w:r>
          </w:p>
        </w:tc>
        <w:tc>
          <w:tcPr>
            <w:tcW w:type="dxa" w:w="6768"/>
            <w:shd w:fill="D9EAF7"/>
          </w:tcPr>
          <w:p>
            <w:r>
              <w:rPr>
                <w:b/>
              </w:rPr>
              <w:t>Value</w:t>
            </w:r>
          </w:p>
        </w:tc>
      </w:tr>
      <w:tr>
        <w:tc>
          <w:tcPr>
            <w:tcW w:type="dxa" w:w="3024"/>
          </w:tcPr>
          <w:p>
            <w:r>
              <w:t>Reporting Period</w:t>
            </w:r>
          </w:p>
        </w:tc>
        <w:tc>
          <w:tcPr>
            <w:tcW w:type="dxa" w:w="6768"/>
          </w:tcPr>
          <w:p>
            <w:r>
              <w:t>March 2026</w:t>
            </w:r>
          </w:p>
        </w:tc>
      </w:tr>
      <w:tr>
        <w:tc>
          <w:tcPr>
            <w:tcW w:type="dxa" w:w="3024"/>
          </w:tcPr>
          <w:p>
            <w:r>
              <w:t>Prepared For</w:t>
            </w:r>
          </w:p>
        </w:tc>
        <w:tc>
          <w:tcPr>
            <w:tcW w:type="dxa" w:w="6768"/>
          </w:tcPr>
          <w:p>
            <w:r>
              <w:t>Customer Operations Directorate</w:t>
            </w:r>
          </w:p>
        </w:tc>
      </w:tr>
      <w:tr>
        <w:tc>
          <w:tcPr>
            <w:tcW w:type="dxa" w:w="3024"/>
          </w:tcPr>
          <w:p>
            <w:r>
              <w:t>Prepared By</w:t>
            </w:r>
          </w:p>
        </w:tc>
        <w:tc>
          <w:tcPr>
            <w:tcW w:type="dxa" w:w="6768"/>
          </w:tcPr>
          <w:p>
            <w:r>
              <w:t>PMO Assurance Team</w:t>
            </w:r>
          </w:p>
        </w:tc>
      </w:tr>
      <w:tr>
        <w:tc>
          <w:tcPr>
            <w:tcW w:type="dxa" w:w="3024"/>
          </w:tcPr>
          <w:p>
            <w:r>
              <w:t>Planned Progress</w:t>
            </w:r>
          </w:p>
        </w:tc>
        <w:tc>
          <w:tcPr>
            <w:tcW w:type="dxa" w:w="6768"/>
          </w:tcPr>
          <w:p>
            <w:r>
              <w:t>60%</w:t>
            </w:r>
          </w:p>
        </w:tc>
      </w:tr>
      <w:tr>
        <w:tc>
          <w:tcPr>
            <w:tcW w:type="dxa" w:w="3024"/>
          </w:tcPr>
          <w:p>
            <w:r>
              <w:t>Actual Progress</w:t>
            </w:r>
          </w:p>
        </w:tc>
        <w:tc>
          <w:tcPr>
            <w:tcW w:type="dxa" w:w="6768"/>
          </w:tcPr>
          <w:p>
            <w:r>
              <w:t>62%</w:t>
            </w:r>
          </w:p>
        </w:tc>
      </w:tr>
      <w:tr>
        <w:tc>
          <w:tcPr>
            <w:tcW w:type="dxa" w:w="3024"/>
          </w:tcPr>
          <w:p>
            <w:r>
              <w:t>Approved Budget USD</w:t>
            </w:r>
          </w:p>
        </w:tc>
        <w:tc>
          <w:tcPr>
            <w:tcW w:type="dxa" w:w="6768"/>
          </w:tcPr>
          <w:p>
            <w:r>
              <w:t>500,000</w:t>
            </w:r>
          </w:p>
        </w:tc>
      </w:tr>
      <w:tr>
        <w:tc>
          <w:tcPr>
            <w:tcW w:type="dxa" w:w="3024"/>
          </w:tcPr>
          <w:p>
            <w:r>
              <w:t>Forecast Budget USD</w:t>
            </w:r>
          </w:p>
        </w:tc>
        <w:tc>
          <w:tcPr>
            <w:tcW w:type="dxa" w:w="6768"/>
          </w:tcPr>
          <w:p>
            <w:r>
              <w:t>487,000</w:t>
            </w:r>
          </w:p>
        </w:tc>
      </w:tr>
    </w:tbl>
    <w:p/>
    <w:p>
      <w:pPr>
        <w:pStyle w:val="Heading1"/>
      </w:pPr>
      <w:r>
        <w:t>Milestone Status Update</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fill="D9EAF7"/>
          </w:tcPr>
          <w:p>
            <w:r>
              <w:rPr>
                <w:b/>
              </w:rPr>
              <w:t>Milestone</w:t>
            </w:r>
          </w:p>
        </w:tc>
        <w:tc>
          <w:tcPr>
            <w:tcW w:type="dxa" w:w="1728"/>
            <w:shd w:fill="D9EAF7"/>
          </w:tcPr>
          <w:p>
            <w:r>
              <w:rPr>
                <w:b/>
              </w:rPr>
              <w:t>Baseline Date</w:t>
            </w:r>
          </w:p>
        </w:tc>
        <w:tc>
          <w:tcPr>
            <w:tcW w:type="dxa" w:w="1728"/>
            <w:shd w:fill="D9EAF7"/>
          </w:tcPr>
          <w:p>
            <w:r>
              <w:rPr>
                <w:b/>
              </w:rPr>
              <w:t>Current Status</w:t>
            </w:r>
          </w:p>
        </w:tc>
        <w:tc>
          <w:tcPr>
            <w:tcW w:type="dxa" w:w="3168"/>
            <w:shd w:fill="D9EAF7"/>
          </w:tcPr>
          <w:p>
            <w:r>
              <w:rPr>
                <w:b/>
              </w:rPr>
              <w:t>Current Note</w:t>
            </w:r>
          </w:p>
        </w:tc>
      </w:tr>
      <w:tr>
        <w:tc>
          <w:tcPr>
            <w:tcW w:type="dxa" w:w="3456"/>
          </w:tcPr>
          <w:p>
            <w:r>
              <w:t>Requirements baseline approved</w:t>
            </w:r>
          </w:p>
        </w:tc>
        <w:tc>
          <w:tcPr>
            <w:tcW w:type="dxa" w:w="1728"/>
          </w:tcPr>
          <w:p>
            <w:r>
              <w:t>2026-01-20</w:t>
            </w:r>
          </w:p>
        </w:tc>
        <w:tc>
          <w:tcPr>
            <w:tcW w:type="dxa" w:w="1728"/>
          </w:tcPr>
          <w:p>
            <w:r>
              <w:t>Completed</w:t>
            </w:r>
          </w:p>
        </w:tc>
        <w:tc>
          <w:tcPr>
            <w:tcW w:type="dxa" w:w="3168"/>
          </w:tcPr>
          <w:p>
            <w:r>
              <w:t>Approved on 2026-01-18 with no open scope caveats</w:t>
            </w:r>
          </w:p>
        </w:tc>
      </w:tr>
      <w:tr>
        <w:tc>
          <w:tcPr>
            <w:tcW w:type="dxa" w:w="3456"/>
          </w:tcPr>
          <w:p>
            <w:r>
              <w:t>Data ingestion foundation complete</w:t>
            </w:r>
          </w:p>
        </w:tc>
        <w:tc>
          <w:tcPr>
            <w:tcW w:type="dxa" w:w="1728"/>
          </w:tcPr>
          <w:p>
            <w:r>
              <w:t>2026-02-28</w:t>
            </w:r>
          </w:p>
        </w:tc>
        <w:tc>
          <w:tcPr>
            <w:tcW w:type="dxa" w:w="1728"/>
          </w:tcPr>
          <w:p>
            <w:r>
              <w:t>Completed</w:t>
            </w:r>
          </w:p>
        </w:tc>
        <w:tc>
          <w:tcPr>
            <w:tcW w:type="dxa" w:w="3168"/>
          </w:tcPr>
          <w:p>
            <w:r>
              <w:t>Completed on 2026-02-27</w:t>
            </w:r>
          </w:p>
        </w:tc>
      </w:tr>
      <w:tr>
        <w:tc>
          <w:tcPr>
            <w:tcW w:type="dxa" w:w="3456"/>
          </w:tcPr>
          <w:p>
            <w:r>
              <w:t>API integration checkpoint</w:t>
            </w:r>
          </w:p>
        </w:tc>
        <w:tc>
          <w:tcPr>
            <w:tcW w:type="dxa" w:w="1728"/>
          </w:tcPr>
          <w:p>
            <w:r>
              <w:t>2026-03-15</w:t>
            </w:r>
          </w:p>
        </w:tc>
        <w:tc>
          <w:tcPr>
            <w:tcW w:type="dxa" w:w="1728"/>
          </w:tcPr>
          <w:p>
            <w:r>
              <w:t>Completed</w:t>
            </w:r>
          </w:p>
        </w:tc>
        <w:tc>
          <w:tcPr>
            <w:tcW w:type="dxa" w:w="3168"/>
          </w:tcPr>
          <w:p>
            <w:r>
              <w:t>Completed on 2026-03-13 after successful load test</w:t>
            </w:r>
          </w:p>
        </w:tc>
      </w:tr>
      <w:tr>
        <w:tc>
          <w:tcPr>
            <w:tcW w:type="dxa" w:w="3456"/>
          </w:tcPr>
          <w:p>
            <w:r>
              <w:t>Operational readiness review</w:t>
            </w:r>
          </w:p>
        </w:tc>
        <w:tc>
          <w:tcPr>
            <w:tcW w:type="dxa" w:w="1728"/>
          </w:tcPr>
          <w:p>
            <w:r>
              <w:t>2026-04-18</w:t>
            </w:r>
          </w:p>
        </w:tc>
        <w:tc>
          <w:tcPr>
            <w:tcW w:type="dxa" w:w="1728"/>
          </w:tcPr>
          <w:p>
            <w:r>
              <w:t>On Track</w:t>
            </w:r>
          </w:p>
        </w:tc>
        <w:tc>
          <w:tcPr>
            <w:tcW w:type="dxa" w:w="3168"/>
          </w:tcPr>
          <w:p>
            <w:r>
              <w:t>Draft runbook accepted by service owner</w:t>
            </w:r>
          </w:p>
        </w:tc>
      </w:tr>
    </w:tbl>
    <w:p/>
    <w:p>
      <w:pPr>
        <w:pStyle w:val="Heading1"/>
      </w:pPr>
      <w:r>
        <w:t>Management Attention Points</w:t>
      </w:r>
    </w:p>
    <w:p>
      <w:pPr>
        <w:pStyle w:val="ListBullet"/>
      </w:pPr>
      <w:r>
        <w:t>Maintain weekly evidence updates through the readiness review.</w:t>
      </w:r>
    </w:p>
    <w:p>
      <w:pPr>
        <w:pStyle w:val="ListBullet"/>
      </w:pPr>
      <w:r>
        <w:t>Keep contingency usage under review as the team enters operational testing.</w:t>
      </w:r>
    </w:p>
    <w:p>
      <w:pPr>
        <w:pStyle w:val="ListBullet"/>
      </w:pPr>
      <w:r>
        <w:t>Confirm support handover attendance before the April readiness meeting.</w:t>
      </w:r>
    </w:p>
    <w:p>
      <w:pPr>
        <w:pStyle w:val="Heading1"/>
      </w:pPr>
      <w:r>
        <w:t>Evidence Interpretation Notes</w:t>
      </w:r>
    </w:p>
    <w:p>
      <w:r>
        <w:t>The report should be interpreted alongside the cost report, risk register, and issue log. The PMO should avoid treating any single indicator as definitive unless it is supported by the registers.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Riverside Data Hub Monthly Progress Report</dc:title>
  <dc:subject>PMO monthly progress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