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Arial" w:hAnsi="Arial"/>
          <w:b/>
          <w:color w:val="1F4E79"/>
          <w:sz w:val="44"/>
        </w:rPr>
        <w:t>Project Baseline</w:t>
      </w:r>
    </w:p>
    <w:p>
      <w:r>
        <w:rPr>
          <w:color w:val="595959"/>
          <w:sz w:val="22"/>
        </w:rPr>
        <w:t>Alpha Infrastructure Program</w:t>
      </w:r>
    </w:p>
    <w:p>
      <w:r>
        <w:t>This baseline defines the approved delivery reference used by the PMO to compare current performance against expected schedule, cost, governance, and assurance evidence.</w:t>
      </w:r>
    </w:p>
    <w:p>
      <w:pPr>
        <w:pStyle w:val="Heading1"/>
      </w:pPr>
      <w:r>
        <w:t>Project Control Profile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80"/>
            <w:shd w:fill="D9EAF7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6912"/>
            <w:shd w:fill="D9EAF7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2880"/>
          </w:tcPr>
          <w:p>
            <w:r>
              <w:t>Project Name</w:t>
            </w:r>
          </w:p>
        </w:tc>
        <w:tc>
          <w:tcPr>
            <w:tcW w:type="dxa" w:w="6912"/>
          </w:tcPr>
          <w:p>
            <w:r>
              <w:t>Alpha Infrastructure Program</w:t>
            </w:r>
          </w:p>
        </w:tc>
      </w:tr>
      <w:tr>
        <w:tc>
          <w:tcPr>
            <w:tcW w:type="dxa" w:w="2880"/>
          </w:tcPr>
          <w:p>
            <w:r>
              <w:t>Sector</w:t>
            </w:r>
          </w:p>
        </w:tc>
        <w:tc>
          <w:tcPr>
            <w:tcW w:type="dxa" w:w="6912"/>
          </w:tcPr>
          <w:p>
            <w:r>
              <w:t>Infrastructure modernization</w:t>
            </w:r>
          </w:p>
        </w:tc>
      </w:tr>
      <w:tr>
        <w:tc>
          <w:tcPr>
            <w:tcW w:type="dxa" w:w="2880"/>
          </w:tcPr>
          <w:p>
            <w:r>
              <w:t>Sponsor</w:t>
            </w:r>
          </w:p>
        </w:tc>
        <w:tc>
          <w:tcPr>
            <w:tcW w:type="dxa" w:w="6912"/>
          </w:tcPr>
          <w:p>
            <w:r>
              <w:t>Capital Delivery Board</w:t>
            </w:r>
          </w:p>
        </w:tc>
      </w:tr>
      <w:tr>
        <w:tc>
          <w:tcPr>
            <w:tcW w:type="dxa" w:w="2880"/>
          </w:tcPr>
          <w:p>
            <w:r>
              <w:t>Project Manager</w:t>
            </w:r>
          </w:p>
        </w:tc>
        <w:tc>
          <w:tcPr>
            <w:tcW w:type="dxa" w:w="6912"/>
          </w:tcPr>
          <w:p>
            <w:r>
              <w:t>Sarah Khan</w:t>
            </w:r>
          </w:p>
        </w:tc>
      </w:tr>
      <w:tr>
        <w:tc>
          <w:tcPr>
            <w:tcW w:type="dxa" w:w="2880"/>
          </w:tcPr>
          <w:p>
            <w:r>
              <w:t>Baseline Budget USD</w:t>
            </w:r>
          </w:p>
        </w:tc>
        <w:tc>
          <w:tcPr>
            <w:tcW w:type="dxa" w:w="6912"/>
          </w:tcPr>
          <w:p>
            <w:r>
              <w:t>4,300,000</w:t>
            </w:r>
          </w:p>
        </w:tc>
      </w:tr>
      <w:tr>
        <w:tc>
          <w:tcPr>
            <w:tcW w:type="dxa" w:w="2880"/>
          </w:tcPr>
          <w:p>
            <w:r>
              <w:t>Assurance Cadence</w:t>
            </w:r>
          </w:p>
        </w:tc>
        <w:tc>
          <w:tcPr>
            <w:tcW w:type="dxa" w:w="6912"/>
          </w:tcPr>
          <w:p>
            <w:r>
              <w:t>Monthly PMO checkpoint with evidence-backed executive summary</w:t>
            </w:r>
          </w:p>
        </w:tc>
      </w:tr>
    </w:tbl>
    <w:p/>
    <w:p>
      <w:pPr>
        <w:pStyle w:val="Heading1"/>
      </w:pPr>
      <w:r>
        <w:t>Baseline Milestones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3456"/>
            <w:shd w:fill="D9EAF7"/>
          </w:tcPr>
          <w:p>
            <w:r>
              <w:rPr>
                <w:b/>
              </w:rPr>
              <w:t>Milestone</w:t>
            </w:r>
          </w:p>
        </w:tc>
        <w:tc>
          <w:tcPr>
            <w:tcW w:type="dxa" w:w="1728"/>
            <w:shd w:fill="D9EAF7"/>
          </w:tcPr>
          <w:p>
            <w:r>
              <w:rPr>
                <w:b/>
              </w:rPr>
              <w:t>Baseline Date</w:t>
            </w:r>
          </w:p>
        </w:tc>
        <w:tc>
          <w:tcPr>
            <w:tcW w:type="dxa" w:w="1584"/>
            <w:shd w:fill="D9EAF7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3456"/>
            <w:shd w:fill="D9EAF7"/>
          </w:tcPr>
          <w:p>
            <w:r>
              <w:rPr>
                <w:b/>
              </w:rPr>
              <w:t>Planning Note</w:t>
            </w:r>
          </w:p>
        </w:tc>
      </w:tr>
      <w:tr>
        <w:tc>
          <w:tcPr>
            <w:tcW w:type="dxa" w:w="3456"/>
          </w:tcPr>
          <w:p>
            <w:r>
              <w:t>Energy audit baseline approved</w:t>
            </w:r>
          </w:p>
        </w:tc>
        <w:tc>
          <w:tcPr>
            <w:tcW w:type="dxa" w:w="1728"/>
          </w:tcPr>
          <w:p>
            <w:r>
              <w:t>2026-02-20</w:t>
            </w:r>
          </w:p>
        </w:tc>
        <w:tc>
          <w:tcPr>
            <w:tcW w:type="dxa" w:w="1584"/>
          </w:tcPr>
          <w:p>
            <w:r>
              <w:t>Baseline</w:t>
            </w:r>
          </w:p>
        </w:tc>
        <w:tc>
          <w:tcPr>
            <w:tcW w:type="dxa" w:w="3456"/>
          </w:tcPr>
          <w:p>
            <w:r>
              <w:t>Baseline reference for plan-vs-actual comparison</w:t>
            </w:r>
          </w:p>
        </w:tc>
      </w:tr>
      <w:tr>
        <w:tc>
          <w:tcPr>
            <w:tcW w:type="dxa" w:w="3456"/>
          </w:tcPr>
          <w:p>
            <w:r>
              <w:t>Smart meter procurement award</w:t>
            </w:r>
          </w:p>
        </w:tc>
        <w:tc>
          <w:tcPr>
            <w:tcW w:type="dxa" w:w="1728"/>
          </w:tcPr>
          <w:p>
            <w:r>
              <w:t>2026-04-30</w:t>
            </w:r>
          </w:p>
        </w:tc>
        <w:tc>
          <w:tcPr>
            <w:tcW w:type="dxa" w:w="1584"/>
          </w:tcPr>
          <w:p>
            <w:r>
              <w:t>Baseline</w:t>
            </w:r>
          </w:p>
        </w:tc>
        <w:tc>
          <w:tcPr>
            <w:tcW w:type="dxa" w:w="3456"/>
          </w:tcPr>
          <w:p>
            <w:r>
              <w:t>Procurement award required before installation mobilization</w:t>
            </w:r>
          </w:p>
        </w:tc>
      </w:tr>
      <w:tr>
        <w:tc>
          <w:tcPr>
            <w:tcW w:type="dxa" w:w="3456"/>
          </w:tcPr>
          <w:p>
            <w:r>
              <w:t>Building A installation complete</w:t>
            </w:r>
          </w:p>
        </w:tc>
        <w:tc>
          <w:tcPr>
            <w:tcW w:type="dxa" w:w="1728"/>
          </w:tcPr>
          <w:p>
            <w:r>
              <w:t>2026-05-25</w:t>
            </w:r>
          </w:p>
        </w:tc>
        <w:tc>
          <w:tcPr>
            <w:tcW w:type="dxa" w:w="1584"/>
          </w:tcPr>
          <w:p>
            <w:r>
              <w:t>Baseline</w:t>
            </w:r>
          </w:p>
        </w:tc>
        <w:tc>
          <w:tcPr>
            <w:tcW w:type="dxa" w:w="3456"/>
          </w:tcPr>
          <w:p>
            <w:r>
              <w:t>Controls pilot depends on this milestone</w:t>
            </w:r>
          </w:p>
        </w:tc>
      </w:tr>
      <w:tr>
        <w:tc>
          <w:tcPr>
            <w:tcW w:type="dxa" w:w="3456"/>
          </w:tcPr>
          <w:p>
            <w:r>
              <w:t>Campus dashboard pilot</w:t>
            </w:r>
          </w:p>
        </w:tc>
        <w:tc>
          <w:tcPr>
            <w:tcW w:type="dxa" w:w="1728"/>
          </w:tcPr>
          <w:p>
            <w:r>
              <w:t>2026-07-10</w:t>
            </w:r>
          </w:p>
        </w:tc>
        <w:tc>
          <w:tcPr>
            <w:tcW w:type="dxa" w:w="1584"/>
          </w:tcPr>
          <w:p>
            <w:r>
              <w:t>Baseline</w:t>
            </w:r>
          </w:p>
        </w:tc>
        <w:tc>
          <w:tcPr>
            <w:tcW w:type="dxa" w:w="3456"/>
          </w:tcPr>
          <w:p>
            <w:r>
              <w:t>Pilot needs clean metering data and approval evidence</w:t>
            </w:r>
          </w:p>
        </w:tc>
      </w:tr>
    </w:tbl>
    <w:p/>
    <w:p>
      <w:pPr>
        <w:pStyle w:val="Heading1"/>
      </w:pPr>
      <w:r>
        <w:t>Governance and Assurance Requirements</w:t>
      </w:r>
    </w:p>
    <w:p>
      <w:pPr>
        <w:pStyle w:val="ListBullet"/>
      </w:pPr>
      <w:r>
        <w:t>Monthly executive summary must compare planned progress, actual progress, cost forecast, active risk exposure, and evidence readiness.</w:t>
      </w:r>
    </w:p>
    <w:p>
      <w:pPr>
        <w:pStyle w:val="ListBullet"/>
      </w:pPr>
      <w:r>
        <w:t>Schedule variance above 10 days or a missed dependency milestone requires a named recovery owner.</w:t>
      </w:r>
    </w:p>
    <w:p>
      <w:pPr>
        <w:pStyle w:val="ListBullet"/>
      </w:pPr>
      <w:r>
        <w:t>Forecast cost above approved baseline requires finance review and mitigation options.</w:t>
      </w:r>
    </w:p>
    <w:p>
      <w:pPr>
        <w:pStyle w:val="ListBullet"/>
      </w:pPr>
      <w:r>
        <w:t>High risks, overdue high-severity issues, and missing decision evidence must be escalated to the sponsor or steering committee.</w:t>
      </w:r>
    </w:p>
    <w:p>
      <w:pPr>
        <w:pStyle w:val="ListBullet"/>
      </w:pPr>
      <w:r>
        <w:t>Every management finding should be traceable to a source document, register, or approved record.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F4E79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Alpha Infrastructure Program Project Baseline</dc:title>
  <dc:subject>PMO project baseline evidence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