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Arial" w:hAnsi="Arial"/>
          <w:b/>
          <w:color w:val="1F4E79"/>
          <w:sz w:val="44"/>
        </w:rPr>
        <w:t>Monthly Progress Report</w:t>
      </w:r>
    </w:p>
    <w:p>
      <w:r>
        <w:rPr>
          <w:color w:val="595959"/>
          <w:sz w:val="22"/>
        </w:rPr>
        <w:t>Alpha Infrastructure Program</w:t>
      </w:r>
    </w:p>
    <w:p>
      <w:pPr>
        <w:pStyle w:val="Heading1"/>
      </w:pPr>
      <w:r>
        <w:t>Executive Narrative</w:t>
      </w:r>
    </w:p>
    <w:p>
      <w:r>
        <w:t>The program needs management attention. Installation progress is below the baseline, the forecast is above the approved budget, and metering approval evidence is incomplete. The delivery team has a recovery proposal, but the plan has not yet been fully evidenced.</w:t>
      </w:r>
    </w:p>
    <w:p>
      <w:pPr>
        <w:pStyle w:val="Heading1"/>
      </w:pPr>
      <w:r>
        <w:t>Current Control Position</w:t>
      </w:r>
    </w:p>
    <w:tbl>
      <w:tblPr>
        <w:tblStyle w:val="TableGrid"/>
        <w:tblW w:type="auto" w:w="0"/>
        <w:tblLook w:firstColumn="1" w:firstRow="1" w:lastColumn="0" w:lastRow="0" w:noHBand="0" w:noVBand="1" w:val="04A0"/>
      </w:tblPr>
      <w:tblGrid>
        <w:gridCol w:w="4320"/>
        <w:gridCol w:w="4320"/>
      </w:tblGrid>
      <w:tr>
        <w:tc>
          <w:tcPr>
            <w:tcW w:type="dxa" w:w="3024"/>
            <w:shd w:fill="D9EAF7"/>
          </w:tcPr>
          <w:p>
            <w:r>
              <w:rPr>
                <w:b/>
              </w:rPr>
              <w:t>Field</w:t>
            </w:r>
          </w:p>
        </w:tc>
        <w:tc>
          <w:tcPr>
            <w:tcW w:type="dxa" w:w="6768"/>
            <w:shd w:fill="D9EAF7"/>
          </w:tcPr>
          <w:p>
            <w:r>
              <w:rPr>
                <w:b/>
              </w:rPr>
              <w:t>Value</w:t>
            </w:r>
          </w:p>
        </w:tc>
      </w:tr>
      <w:tr>
        <w:tc>
          <w:tcPr>
            <w:tcW w:type="dxa" w:w="3024"/>
          </w:tcPr>
          <w:p>
            <w:r>
              <w:t>Reporting Period</w:t>
            </w:r>
          </w:p>
        </w:tc>
        <w:tc>
          <w:tcPr>
            <w:tcW w:type="dxa" w:w="6768"/>
          </w:tcPr>
          <w:p>
            <w:r>
              <w:t>May 2026</w:t>
            </w:r>
          </w:p>
        </w:tc>
      </w:tr>
      <w:tr>
        <w:tc>
          <w:tcPr>
            <w:tcW w:type="dxa" w:w="3024"/>
          </w:tcPr>
          <w:p>
            <w:r>
              <w:t>Prepared For</w:t>
            </w:r>
          </w:p>
        </w:tc>
        <w:tc>
          <w:tcPr>
            <w:tcW w:type="dxa" w:w="6768"/>
          </w:tcPr>
          <w:p>
            <w:r>
              <w:t>Capital Delivery Board</w:t>
            </w:r>
          </w:p>
        </w:tc>
      </w:tr>
      <w:tr>
        <w:tc>
          <w:tcPr>
            <w:tcW w:type="dxa" w:w="3024"/>
          </w:tcPr>
          <w:p>
            <w:r>
              <w:t>Prepared By</w:t>
            </w:r>
          </w:p>
        </w:tc>
        <w:tc>
          <w:tcPr>
            <w:tcW w:type="dxa" w:w="6768"/>
          </w:tcPr>
          <w:p>
            <w:r>
              <w:t>PMO Assurance Team</w:t>
            </w:r>
          </w:p>
        </w:tc>
      </w:tr>
      <w:tr>
        <w:tc>
          <w:tcPr>
            <w:tcW w:type="dxa" w:w="3024"/>
          </w:tcPr>
          <w:p>
            <w:r>
              <w:t>Planned Progress</w:t>
            </w:r>
          </w:p>
        </w:tc>
        <w:tc>
          <w:tcPr>
            <w:tcW w:type="dxa" w:w="6768"/>
          </w:tcPr>
          <w:p>
            <w:r>
              <w:t>54%</w:t>
            </w:r>
          </w:p>
        </w:tc>
      </w:tr>
      <w:tr>
        <w:tc>
          <w:tcPr>
            <w:tcW w:type="dxa" w:w="3024"/>
          </w:tcPr>
          <w:p>
            <w:r>
              <w:t>Actual Progress</w:t>
            </w:r>
          </w:p>
        </w:tc>
        <w:tc>
          <w:tcPr>
            <w:tcW w:type="dxa" w:w="6768"/>
          </w:tcPr>
          <w:p>
            <w:r>
              <w:t>43%</w:t>
            </w:r>
          </w:p>
        </w:tc>
      </w:tr>
      <w:tr>
        <w:tc>
          <w:tcPr>
            <w:tcW w:type="dxa" w:w="3024"/>
          </w:tcPr>
          <w:p>
            <w:r>
              <w:t>Approved Budget USD</w:t>
            </w:r>
          </w:p>
        </w:tc>
        <w:tc>
          <w:tcPr>
            <w:tcW w:type="dxa" w:w="6768"/>
          </w:tcPr>
          <w:p>
            <w:r>
              <w:t>4,300,000</w:t>
            </w:r>
          </w:p>
        </w:tc>
      </w:tr>
      <w:tr>
        <w:tc>
          <w:tcPr>
            <w:tcW w:type="dxa" w:w="3024"/>
          </w:tcPr>
          <w:p>
            <w:r>
              <w:t>Forecast Budget USD</w:t>
            </w:r>
          </w:p>
        </w:tc>
        <w:tc>
          <w:tcPr>
            <w:tcW w:type="dxa" w:w="6768"/>
          </w:tcPr>
          <w:p>
            <w:r>
              <w:t>4,550,000</w:t>
            </w:r>
          </w:p>
        </w:tc>
      </w:tr>
    </w:tbl>
    <w:p/>
    <w:p>
      <w:pPr>
        <w:pStyle w:val="Heading1"/>
      </w:pPr>
      <w:r>
        <w:t>Milestone Status Update</w:t>
      </w:r>
    </w:p>
    <w:tbl>
      <w:tblPr>
        <w:tblStyle w:val="TableGrid"/>
        <w:tblW w:type="auto" w:w="0"/>
        <w:tblLook w:firstColumn="1" w:firstRow="1" w:lastColumn="0" w:lastRow="0" w:noHBand="0" w:noVBand="1" w:val="04A0"/>
      </w:tblPr>
      <w:tblGrid>
        <w:gridCol w:w="2160"/>
        <w:gridCol w:w="2160"/>
        <w:gridCol w:w="2160"/>
        <w:gridCol w:w="2160"/>
      </w:tblGrid>
      <w:tr>
        <w:tc>
          <w:tcPr>
            <w:tcW w:type="dxa" w:w="3456"/>
            <w:shd w:fill="D9EAF7"/>
          </w:tcPr>
          <w:p>
            <w:r>
              <w:rPr>
                <w:b/>
              </w:rPr>
              <w:t>Milestone</w:t>
            </w:r>
          </w:p>
        </w:tc>
        <w:tc>
          <w:tcPr>
            <w:tcW w:type="dxa" w:w="1728"/>
            <w:shd w:fill="D9EAF7"/>
          </w:tcPr>
          <w:p>
            <w:r>
              <w:rPr>
                <w:b/>
              </w:rPr>
              <w:t>Baseline Date</w:t>
            </w:r>
          </w:p>
        </w:tc>
        <w:tc>
          <w:tcPr>
            <w:tcW w:type="dxa" w:w="1728"/>
            <w:shd w:fill="D9EAF7"/>
          </w:tcPr>
          <w:p>
            <w:r>
              <w:rPr>
                <w:b/>
              </w:rPr>
              <w:t>Current Status</w:t>
            </w:r>
          </w:p>
        </w:tc>
        <w:tc>
          <w:tcPr>
            <w:tcW w:type="dxa" w:w="3168"/>
            <w:shd w:fill="D9EAF7"/>
          </w:tcPr>
          <w:p>
            <w:r>
              <w:rPr>
                <w:b/>
              </w:rPr>
              <w:t>Current Note</w:t>
            </w:r>
          </w:p>
        </w:tc>
      </w:tr>
      <w:tr>
        <w:tc>
          <w:tcPr>
            <w:tcW w:type="dxa" w:w="3456"/>
          </w:tcPr>
          <w:p>
            <w:r>
              <w:t>Energy audit baseline approved</w:t>
            </w:r>
          </w:p>
        </w:tc>
        <w:tc>
          <w:tcPr>
            <w:tcW w:type="dxa" w:w="1728"/>
          </w:tcPr>
          <w:p>
            <w:r>
              <w:t>2026-02-20</w:t>
            </w:r>
          </w:p>
        </w:tc>
        <w:tc>
          <w:tcPr>
            <w:tcW w:type="dxa" w:w="1728"/>
          </w:tcPr>
          <w:p>
            <w:r>
              <w:t>Completed</w:t>
            </w:r>
          </w:p>
        </w:tc>
        <w:tc>
          <w:tcPr>
            <w:tcW w:type="dxa" w:w="3168"/>
          </w:tcPr>
          <w:p>
            <w:r>
              <w:t>Completed on 2026-02-18</w:t>
            </w:r>
          </w:p>
        </w:tc>
      </w:tr>
      <w:tr>
        <w:tc>
          <w:tcPr>
            <w:tcW w:type="dxa" w:w="3456"/>
          </w:tcPr>
          <w:p>
            <w:r>
              <w:t>Smart meter procurement award</w:t>
            </w:r>
          </w:p>
        </w:tc>
        <w:tc>
          <w:tcPr>
            <w:tcW w:type="dxa" w:w="1728"/>
          </w:tcPr>
          <w:p>
            <w:r>
              <w:t>2026-04-30</w:t>
            </w:r>
          </w:p>
        </w:tc>
        <w:tc>
          <w:tcPr>
            <w:tcW w:type="dxa" w:w="1728"/>
          </w:tcPr>
          <w:p>
            <w:r>
              <w:t>Completed Late</w:t>
            </w:r>
          </w:p>
        </w:tc>
        <w:tc>
          <w:tcPr>
            <w:tcW w:type="dxa" w:w="3168"/>
          </w:tcPr>
          <w:p>
            <w:r>
              <w:t>Award completed on 2026-05-03</w:t>
            </w:r>
          </w:p>
        </w:tc>
      </w:tr>
      <w:tr>
        <w:tc>
          <w:tcPr>
            <w:tcW w:type="dxa" w:w="3456"/>
          </w:tcPr>
          <w:p>
            <w:r>
              <w:t>Building A installation complete</w:t>
            </w:r>
          </w:p>
        </w:tc>
        <w:tc>
          <w:tcPr>
            <w:tcW w:type="dxa" w:w="1728"/>
          </w:tcPr>
          <w:p>
            <w:r>
              <w:t>2026-05-25</w:t>
            </w:r>
          </w:p>
        </w:tc>
        <w:tc>
          <w:tcPr>
            <w:tcW w:type="dxa" w:w="1728"/>
          </w:tcPr>
          <w:p>
            <w:r>
              <w:t>At Risk</w:t>
            </w:r>
          </w:p>
        </w:tc>
        <w:tc>
          <w:tcPr>
            <w:tcW w:type="dxa" w:w="3168"/>
          </w:tcPr>
          <w:p>
            <w:r>
              <w:t>Forecast completion on 2026-06-08</w:t>
            </w:r>
          </w:p>
        </w:tc>
      </w:tr>
      <w:tr>
        <w:tc>
          <w:tcPr>
            <w:tcW w:type="dxa" w:w="3456"/>
          </w:tcPr>
          <w:p>
            <w:r>
              <w:t>Campus dashboard pilot</w:t>
            </w:r>
          </w:p>
        </w:tc>
        <w:tc>
          <w:tcPr>
            <w:tcW w:type="dxa" w:w="1728"/>
          </w:tcPr>
          <w:p>
            <w:r>
              <w:t>2026-07-10</w:t>
            </w:r>
          </w:p>
        </w:tc>
        <w:tc>
          <w:tcPr>
            <w:tcW w:type="dxa" w:w="1728"/>
          </w:tcPr>
          <w:p>
            <w:r>
              <w:t>At Risk</w:t>
            </w:r>
          </w:p>
        </w:tc>
        <w:tc>
          <w:tcPr>
            <w:tcW w:type="dxa" w:w="3168"/>
          </w:tcPr>
          <w:p>
            <w:r>
              <w:t>Dependent on metering data and Building A recovery</w:t>
            </w:r>
          </w:p>
        </w:tc>
      </w:tr>
    </w:tbl>
    <w:p/>
    <w:p>
      <w:pPr>
        <w:pStyle w:val="Heading1"/>
      </w:pPr>
      <w:r>
        <w:t>Management Attention Points</w:t>
      </w:r>
    </w:p>
    <w:p>
      <w:pPr>
        <w:pStyle w:val="ListBullet"/>
      </w:pPr>
      <w:r>
        <w:t>Validate whether the revised installation sequence protects the July dashboard pilot.</w:t>
      </w:r>
    </w:p>
    <w:p>
      <w:pPr>
        <w:pStyle w:val="ListBullet"/>
      </w:pPr>
      <w:r>
        <w:t>Review forecast cost variance against the approved baseline and agree mitigation.</w:t>
      </w:r>
    </w:p>
    <w:p>
      <w:pPr>
        <w:pStyle w:val="ListBullet"/>
      </w:pPr>
      <w:r>
        <w:t>Close the missing metering approval evidence before the next assurance checkpoint.</w:t>
      </w:r>
    </w:p>
    <w:p>
      <w:pPr>
        <w:pStyle w:val="Heading1"/>
      </w:pPr>
      <w:r>
        <w:t>Evidence Interpretation Notes</w:t>
      </w:r>
    </w:p>
    <w:p>
      <w:r>
        <w:t>The report should be interpreted alongside the cost report, risk register, and issue log. The PMO should avoid treating any single indicator as definitive unless it is supported by the registers.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F4E79"/>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Alpha Infrastructure Program Monthly Progress Report</dc:title>
  <dc:subject>PMO monthly progress evidence</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