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1F4E79"/>
          <w:sz w:val="44"/>
        </w:rPr>
        <w:t>Project Baseline</w:t>
      </w:r>
    </w:p>
    <w:p>
      <w:r>
        <w:rPr>
          <w:color w:val="595959"/>
          <w:sz w:val="22"/>
        </w:rPr>
        <w:t>Orion ERP Recovery</w:t>
      </w:r>
    </w:p>
    <w:p>
      <w:r>
        <w:t>This baseline defines the approved delivery reference used by the PMO to compare current performance against expected schedule, cost, governance, and assurance evidence.</w:t>
      </w:r>
    </w:p>
    <w:p>
      <w:pPr>
        <w:pStyle w:val="Heading1"/>
      </w:pPr>
      <w:r>
        <w:t>Project Control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D9EAF7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6912"/>
            <w:shd w:fill="D9EAF7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2880"/>
          </w:tcPr>
          <w:p>
            <w:r>
              <w:t>Project Name</w:t>
            </w:r>
          </w:p>
        </w:tc>
        <w:tc>
          <w:tcPr>
            <w:tcW w:type="dxa" w:w="6912"/>
          </w:tcPr>
          <w:p>
            <w:r>
              <w:t>Orion ERP Recovery</w:t>
            </w:r>
          </w:p>
        </w:tc>
      </w:tr>
      <w:tr>
        <w:tc>
          <w:tcPr>
            <w:tcW w:type="dxa" w:w="2880"/>
          </w:tcPr>
          <w:p>
            <w:r>
              <w:t>Sector</w:t>
            </w:r>
          </w:p>
        </w:tc>
        <w:tc>
          <w:tcPr>
            <w:tcW w:type="dxa" w:w="6912"/>
          </w:tcPr>
          <w:p>
            <w:r>
              <w:t>Enterprise systems transformation</w:t>
            </w:r>
          </w:p>
        </w:tc>
      </w:tr>
      <w:tr>
        <w:tc>
          <w:tcPr>
            <w:tcW w:type="dxa" w:w="2880"/>
          </w:tcPr>
          <w:p>
            <w:r>
              <w:t>Sponsor</w:t>
            </w:r>
          </w:p>
        </w:tc>
        <w:tc>
          <w:tcPr>
            <w:tcW w:type="dxa" w:w="6912"/>
          </w:tcPr>
          <w:p>
            <w:r>
              <w:t>Finance Transformation Steering Committee</w:t>
            </w:r>
          </w:p>
        </w:tc>
      </w:tr>
      <w:tr>
        <w:tc>
          <w:tcPr>
            <w:tcW w:type="dxa" w:w="2880"/>
          </w:tcPr>
          <w:p>
            <w:r>
              <w:t>Project Manager</w:t>
            </w:r>
          </w:p>
        </w:tc>
        <w:tc>
          <w:tcPr>
            <w:tcW w:type="dxa" w:w="6912"/>
          </w:tcPr>
          <w:p>
            <w:r>
              <w:t>Leon Hartono</w:t>
            </w:r>
          </w:p>
        </w:tc>
      </w:tr>
      <w:tr>
        <w:tc>
          <w:tcPr>
            <w:tcW w:type="dxa" w:w="2880"/>
          </w:tcPr>
          <w:p>
            <w:r>
              <w:t>Baseline Budget USD</w:t>
            </w:r>
          </w:p>
        </w:tc>
        <w:tc>
          <w:tcPr>
            <w:tcW w:type="dxa" w:w="6912"/>
          </w:tcPr>
          <w:p>
            <w:r>
              <w:t>900,000</w:t>
            </w:r>
          </w:p>
        </w:tc>
      </w:tr>
      <w:tr>
        <w:tc>
          <w:tcPr>
            <w:tcW w:type="dxa" w:w="2880"/>
          </w:tcPr>
          <w:p>
            <w:r>
              <w:t>Assurance Cadence</w:t>
            </w:r>
          </w:p>
        </w:tc>
        <w:tc>
          <w:tcPr>
            <w:tcW w:type="dxa" w:w="6912"/>
          </w:tcPr>
          <w:p>
            <w:r>
              <w:t>Monthly PMO checkpoint with evidence-backed executive summary</w:t>
            </w:r>
          </w:p>
        </w:tc>
      </w:tr>
    </w:tbl>
    <w:p/>
    <w:p>
      <w:pPr>
        <w:pStyle w:val="Heading1"/>
      </w:pPr>
      <w:r>
        <w:t>Baseline Milestones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56"/>
            <w:shd w:fill="D9EAF7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1728"/>
            <w:shd w:fill="D9EAF7"/>
          </w:tcPr>
          <w:p>
            <w:r>
              <w:rPr>
                <w:b/>
              </w:rPr>
              <w:t>Baseline Date</w:t>
            </w:r>
          </w:p>
        </w:tc>
        <w:tc>
          <w:tcPr>
            <w:tcW w:type="dxa" w:w="1584"/>
            <w:shd w:fill="D9EAF7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</w:rPr>
              <w:t>Planning Note</w:t>
            </w:r>
          </w:p>
        </w:tc>
      </w:tr>
      <w:tr>
        <w:tc>
          <w:tcPr>
            <w:tcW w:type="dxa" w:w="3456"/>
          </w:tcPr>
          <w:p>
            <w:r>
              <w:t>Recovery baseline approved</w:t>
            </w:r>
          </w:p>
        </w:tc>
        <w:tc>
          <w:tcPr>
            <w:tcW w:type="dxa" w:w="1728"/>
          </w:tcPr>
          <w:p>
            <w:r>
              <w:t>2026-03-15</w:t>
            </w:r>
          </w:p>
        </w:tc>
        <w:tc>
          <w:tcPr>
            <w:tcW w:type="dxa" w:w="1584"/>
          </w:tcPr>
          <w:p>
            <w:r>
              <w:t>Baseline</w:t>
            </w:r>
          </w:p>
        </w:tc>
        <w:tc>
          <w:tcPr>
            <w:tcW w:type="dxa" w:w="3456"/>
          </w:tcPr>
          <w:p>
            <w:r>
              <w:t>Steering committee checkpoint</w:t>
            </w:r>
          </w:p>
        </w:tc>
      </w:tr>
      <w:tr>
        <w:tc>
          <w:tcPr>
            <w:tcW w:type="dxa" w:w="3456"/>
          </w:tcPr>
          <w:p>
            <w:r>
              <w:t>Customer master migration verified</w:t>
            </w:r>
          </w:p>
        </w:tc>
        <w:tc>
          <w:tcPr>
            <w:tcW w:type="dxa" w:w="1728"/>
          </w:tcPr>
          <w:p>
            <w:r>
              <w:t>2026-05-20</w:t>
            </w:r>
          </w:p>
        </w:tc>
        <w:tc>
          <w:tcPr>
            <w:tcW w:type="dxa" w:w="1584"/>
          </w:tcPr>
          <w:p>
            <w:r>
              <w:t>Baseline</w:t>
            </w:r>
          </w:p>
        </w:tc>
        <w:tc>
          <w:tcPr>
            <w:tcW w:type="dxa" w:w="3456"/>
          </w:tcPr>
          <w:p>
            <w:r>
              <w:t>Required before cutover rehearsal</w:t>
            </w:r>
          </w:p>
        </w:tc>
      </w:tr>
      <w:tr>
        <w:tc>
          <w:tcPr>
            <w:tcW w:type="dxa" w:w="3456"/>
          </w:tcPr>
          <w:p>
            <w:r>
              <w:t>Cutover rehearsal complete</w:t>
            </w:r>
          </w:p>
        </w:tc>
        <w:tc>
          <w:tcPr>
            <w:tcW w:type="dxa" w:w="1728"/>
          </w:tcPr>
          <w:p>
            <w:r>
              <w:t>2026-06-10</w:t>
            </w:r>
          </w:p>
        </w:tc>
        <w:tc>
          <w:tcPr>
            <w:tcW w:type="dxa" w:w="1584"/>
          </w:tcPr>
          <w:p>
            <w:r>
              <w:t>Baseline</w:t>
            </w:r>
          </w:p>
        </w:tc>
        <w:tc>
          <w:tcPr>
            <w:tcW w:type="dxa" w:w="3456"/>
          </w:tcPr>
          <w:p>
            <w:r>
              <w:t>Required evidence for go/no-go</w:t>
            </w:r>
          </w:p>
        </w:tc>
      </w:tr>
      <w:tr>
        <w:tc>
          <w:tcPr>
            <w:tcW w:type="dxa" w:w="3456"/>
          </w:tcPr>
          <w:p>
            <w:r>
              <w:t>Release 2 go-live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584"/>
          </w:tcPr>
          <w:p>
            <w:r>
              <w:t>Baseline</w:t>
            </w:r>
          </w:p>
        </w:tc>
        <w:tc>
          <w:tcPr>
            <w:tcW w:type="dxa" w:w="3456"/>
          </w:tcPr>
          <w:p>
            <w:r>
              <w:t>Depends on clean migration and sign-off</w:t>
            </w:r>
          </w:p>
        </w:tc>
      </w:tr>
    </w:tbl>
    <w:p/>
    <w:p>
      <w:pPr>
        <w:pStyle w:val="Heading1"/>
      </w:pPr>
      <w:r>
        <w:t>Governance and Assurance Requirements</w:t>
      </w:r>
    </w:p>
    <w:p>
      <w:pPr>
        <w:pStyle w:val="ListBullet"/>
      </w:pPr>
      <w:r>
        <w:t>Monthly executive summary must compare planned progress, actual progress, cost forecast, active risk exposure, and evidence readiness.</w:t>
      </w:r>
    </w:p>
    <w:p>
      <w:pPr>
        <w:pStyle w:val="ListBullet"/>
      </w:pPr>
      <w:r>
        <w:t>Schedule variance above 10 days or a missed dependency milestone requires a named recovery owner.</w:t>
      </w:r>
    </w:p>
    <w:p>
      <w:pPr>
        <w:pStyle w:val="ListBullet"/>
      </w:pPr>
      <w:r>
        <w:t>Forecast cost above approved baseline requires finance review and mitigation options.</w:t>
      </w:r>
    </w:p>
    <w:p>
      <w:pPr>
        <w:pStyle w:val="ListBullet"/>
      </w:pPr>
      <w:r>
        <w:t>High risks, overdue high-severity issues, and missing decision evidence must be escalated to the sponsor or steering committee.</w:t>
      </w:r>
    </w:p>
    <w:p>
      <w:pPr>
        <w:pStyle w:val="ListBullet"/>
      </w:pPr>
      <w:r>
        <w:t>Every management finding should be traceable to a source document, register, or approved record.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Orion ERP Recovery Project Baseline</dc:title>
  <dc:subject>PMO project baseline evidence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