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F4E79"/>
          <w:sz w:val="44"/>
        </w:rPr>
        <w:t>Monthly Progress Report</w:t>
      </w:r>
    </w:p>
    <w:p>
      <w:r>
        <w:rPr>
          <w:color w:val="595959"/>
          <w:sz w:val="22"/>
        </w:rPr>
        <w:t>Orion ERP Recovery</w:t>
      </w:r>
    </w:p>
    <w:p>
      <w:pPr>
        <w:pStyle w:val="Heading1"/>
      </w:pPr>
      <w:r>
        <w:t>Executive Narrative</w:t>
      </w:r>
    </w:p>
    <w:p>
      <w:r>
        <w:t>The recovery workstream is no longer tracking to the approved baseline. The cutover path is blocked by unresolved customer master reconciliation failures, the cost forecast has moved materially above the approved budget, and key governance evidence is missing.</w:t>
      </w:r>
    </w:p>
    <w:p>
      <w:pPr>
        <w:pStyle w:val="Heading1"/>
      </w:pPr>
      <w:r>
        <w:t>Current Control Position</w:t>
      </w:r>
    </w:p>
    <w:tbl>
      <w:tblPr>
        <w:tblStyle w:val="TableGrid"/>
        <w:tblW w:type="auto" w:w="0"/>
        <w:tblLook w:firstColumn="1" w:firstRow="1" w:lastColumn="0" w:lastRow="0" w:noHBand="0" w:noVBand="1" w:val="04A0"/>
      </w:tblPr>
      <w:tblGrid>
        <w:gridCol w:w="4320"/>
        <w:gridCol w:w="4320"/>
      </w:tblGrid>
      <w:tr>
        <w:tc>
          <w:tcPr>
            <w:tcW w:type="dxa" w:w="3024"/>
            <w:shd w:fill="D9EAF7"/>
          </w:tcPr>
          <w:p>
            <w:r>
              <w:rPr>
                <w:b/>
              </w:rPr>
              <w:t>Field</w:t>
            </w:r>
          </w:p>
        </w:tc>
        <w:tc>
          <w:tcPr>
            <w:tcW w:type="dxa" w:w="6768"/>
            <w:shd w:fill="D9EAF7"/>
          </w:tcPr>
          <w:p>
            <w:r>
              <w:rPr>
                <w:b/>
              </w:rPr>
              <w:t>Value</w:t>
            </w:r>
          </w:p>
        </w:tc>
      </w:tr>
      <w:tr>
        <w:tc>
          <w:tcPr>
            <w:tcW w:type="dxa" w:w="3024"/>
          </w:tcPr>
          <w:p>
            <w:r>
              <w:t>Reporting Period</w:t>
            </w:r>
          </w:p>
        </w:tc>
        <w:tc>
          <w:tcPr>
            <w:tcW w:type="dxa" w:w="6768"/>
          </w:tcPr>
          <w:p>
            <w:r>
              <w:t>June 2026</w:t>
            </w:r>
          </w:p>
        </w:tc>
      </w:tr>
      <w:tr>
        <w:tc>
          <w:tcPr>
            <w:tcW w:type="dxa" w:w="3024"/>
          </w:tcPr>
          <w:p>
            <w:r>
              <w:t>Prepared For</w:t>
            </w:r>
          </w:p>
        </w:tc>
        <w:tc>
          <w:tcPr>
            <w:tcW w:type="dxa" w:w="6768"/>
          </w:tcPr>
          <w:p>
            <w:r>
              <w:t>Finance Transformation Steering Committee</w:t>
            </w:r>
          </w:p>
        </w:tc>
      </w:tr>
      <w:tr>
        <w:tc>
          <w:tcPr>
            <w:tcW w:type="dxa" w:w="3024"/>
          </w:tcPr>
          <w:p>
            <w:r>
              <w:t>Prepared By</w:t>
            </w:r>
          </w:p>
        </w:tc>
        <w:tc>
          <w:tcPr>
            <w:tcW w:type="dxa" w:w="6768"/>
          </w:tcPr>
          <w:p>
            <w:r>
              <w:t>PMO Assurance Team</w:t>
            </w:r>
          </w:p>
        </w:tc>
      </w:tr>
      <w:tr>
        <w:tc>
          <w:tcPr>
            <w:tcW w:type="dxa" w:w="3024"/>
          </w:tcPr>
          <w:p>
            <w:r>
              <w:t>Planned Progress</w:t>
            </w:r>
          </w:p>
        </w:tc>
        <w:tc>
          <w:tcPr>
            <w:tcW w:type="dxa" w:w="6768"/>
          </w:tcPr>
          <w:p>
            <w:r>
              <w:t>59%</w:t>
            </w:r>
          </w:p>
        </w:tc>
      </w:tr>
      <w:tr>
        <w:tc>
          <w:tcPr>
            <w:tcW w:type="dxa" w:w="3024"/>
          </w:tcPr>
          <w:p>
            <w:r>
              <w:t>Actual Progress</w:t>
            </w:r>
          </w:p>
        </w:tc>
        <w:tc>
          <w:tcPr>
            <w:tcW w:type="dxa" w:w="6768"/>
          </w:tcPr>
          <w:p>
            <w:r>
              <w:t>31%</w:t>
            </w:r>
          </w:p>
        </w:tc>
      </w:tr>
      <w:tr>
        <w:tc>
          <w:tcPr>
            <w:tcW w:type="dxa" w:w="3024"/>
          </w:tcPr>
          <w:p>
            <w:r>
              <w:t>Approved Budget USD</w:t>
            </w:r>
          </w:p>
        </w:tc>
        <w:tc>
          <w:tcPr>
            <w:tcW w:type="dxa" w:w="6768"/>
          </w:tcPr>
          <w:p>
            <w:r>
              <w:t>900,000</w:t>
            </w:r>
          </w:p>
        </w:tc>
      </w:tr>
      <w:tr>
        <w:tc>
          <w:tcPr>
            <w:tcW w:type="dxa" w:w="3024"/>
          </w:tcPr>
          <w:p>
            <w:r>
              <w:t>Forecast Budget USD</w:t>
            </w:r>
          </w:p>
        </w:tc>
        <w:tc>
          <w:tcPr>
            <w:tcW w:type="dxa" w:w="6768"/>
          </w:tcPr>
          <w:p>
            <w:r>
              <w:t>1,062,000</w:t>
            </w:r>
          </w:p>
        </w:tc>
      </w:tr>
    </w:tbl>
    <w:p/>
    <w:p>
      <w:pPr>
        <w:pStyle w:val="Heading1"/>
      </w:pPr>
      <w:r>
        <w:t>Milestone Status Update</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fill="D9EAF7"/>
          </w:tcPr>
          <w:p>
            <w:r>
              <w:rPr>
                <w:b/>
              </w:rPr>
              <w:t>Milestone</w:t>
            </w:r>
          </w:p>
        </w:tc>
        <w:tc>
          <w:tcPr>
            <w:tcW w:type="dxa" w:w="1728"/>
            <w:shd w:fill="D9EAF7"/>
          </w:tcPr>
          <w:p>
            <w:r>
              <w:rPr>
                <w:b/>
              </w:rPr>
              <w:t>Baseline Date</w:t>
            </w:r>
          </w:p>
        </w:tc>
        <w:tc>
          <w:tcPr>
            <w:tcW w:type="dxa" w:w="1728"/>
            <w:shd w:fill="D9EAF7"/>
          </w:tcPr>
          <w:p>
            <w:r>
              <w:rPr>
                <w:b/>
              </w:rPr>
              <w:t>Current Status</w:t>
            </w:r>
          </w:p>
        </w:tc>
        <w:tc>
          <w:tcPr>
            <w:tcW w:type="dxa" w:w="3168"/>
            <w:shd w:fill="D9EAF7"/>
          </w:tcPr>
          <w:p>
            <w:r>
              <w:rPr>
                <w:b/>
              </w:rPr>
              <w:t>Current Note</w:t>
            </w:r>
          </w:p>
        </w:tc>
      </w:tr>
      <w:tr>
        <w:tc>
          <w:tcPr>
            <w:tcW w:type="dxa" w:w="3456"/>
          </w:tcPr>
          <w:p>
            <w:r>
              <w:t>Recovery baseline approved</w:t>
            </w:r>
          </w:p>
        </w:tc>
        <w:tc>
          <w:tcPr>
            <w:tcW w:type="dxa" w:w="1728"/>
          </w:tcPr>
          <w:p>
            <w:r>
              <w:t>2026-03-15</w:t>
            </w:r>
          </w:p>
        </w:tc>
        <w:tc>
          <w:tcPr>
            <w:tcW w:type="dxa" w:w="1728"/>
          </w:tcPr>
          <w:p>
            <w:r>
              <w:t>Partially Approved</w:t>
            </w:r>
          </w:p>
        </w:tc>
        <w:tc>
          <w:tcPr>
            <w:tcW w:type="dxa" w:w="3168"/>
          </w:tcPr>
          <w:p>
            <w:r>
              <w:t>Decision record lacks signed recovery owner</w:t>
            </w:r>
          </w:p>
        </w:tc>
      </w:tr>
      <w:tr>
        <w:tc>
          <w:tcPr>
            <w:tcW w:type="dxa" w:w="3456"/>
          </w:tcPr>
          <w:p>
            <w:r>
              <w:t>Customer master migration verified</w:t>
            </w:r>
          </w:p>
        </w:tc>
        <w:tc>
          <w:tcPr>
            <w:tcW w:type="dxa" w:w="1728"/>
          </w:tcPr>
          <w:p>
            <w:r>
              <w:t>2026-05-20</w:t>
            </w:r>
          </w:p>
        </w:tc>
        <w:tc>
          <w:tcPr>
            <w:tcW w:type="dxa" w:w="1728"/>
          </w:tcPr>
          <w:p>
            <w:r>
              <w:t>Blocked</w:t>
            </w:r>
          </w:p>
        </w:tc>
        <w:tc>
          <w:tcPr>
            <w:tcW w:type="dxa" w:w="3168"/>
          </w:tcPr>
          <w:p>
            <w:r>
              <w:t>Reconciliation failure remains unresolved</w:t>
            </w:r>
          </w:p>
        </w:tc>
      </w:tr>
      <w:tr>
        <w:tc>
          <w:tcPr>
            <w:tcW w:type="dxa" w:w="3456"/>
          </w:tcPr>
          <w:p>
            <w:r>
              <w:t>Cutover rehearsal complete</w:t>
            </w:r>
          </w:p>
        </w:tc>
        <w:tc>
          <w:tcPr>
            <w:tcW w:type="dxa" w:w="1728"/>
          </w:tcPr>
          <w:p>
            <w:r>
              <w:t>2026-06-10</w:t>
            </w:r>
          </w:p>
        </w:tc>
        <w:tc>
          <w:tcPr>
            <w:tcW w:type="dxa" w:w="1728"/>
          </w:tcPr>
          <w:p>
            <w:r>
              <w:t>Missed</w:t>
            </w:r>
          </w:p>
        </w:tc>
        <w:tc>
          <w:tcPr>
            <w:tcW w:type="dxa" w:w="3168"/>
          </w:tcPr>
          <w:p>
            <w:r>
              <w:t>Rehearsal could not proceed without migration evidence</w:t>
            </w:r>
          </w:p>
        </w:tc>
      </w:tr>
      <w:tr>
        <w:tc>
          <w:tcPr>
            <w:tcW w:type="dxa" w:w="3456"/>
          </w:tcPr>
          <w:p>
            <w:r>
              <w:t>Release 2 go-live</w:t>
            </w:r>
          </w:p>
        </w:tc>
        <w:tc>
          <w:tcPr>
            <w:tcW w:type="dxa" w:w="1728"/>
          </w:tcPr>
          <w:p>
            <w:r>
              <w:t>2026-07-01</w:t>
            </w:r>
          </w:p>
        </w:tc>
        <w:tc>
          <w:tcPr>
            <w:tcW w:type="dxa" w:w="1728"/>
          </w:tcPr>
          <w:p>
            <w:r>
              <w:t>Not Credible</w:t>
            </w:r>
          </w:p>
        </w:tc>
        <w:tc>
          <w:tcPr>
            <w:tcW w:type="dxa" w:w="3168"/>
          </w:tcPr>
          <w:p>
            <w:r>
              <w:t>Current path requires re-baseline</w:t>
            </w:r>
          </w:p>
        </w:tc>
      </w:tr>
    </w:tbl>
    <w:p/>
    <w:p>
      <w:pPr>
        <w:pStyle w:val="Heading1"/>
      </w:pPr>
      <w:r>
        <w:t>Management Attention Points</w:t>
      </w:r>
    </w:p>
    <w:p>
      <w:pPr>
        <w:pStyle w:val="ListBullet"/>
      </w:pPr>
      <w:r>
        <w:t>Appoint a single accountable recovery owner and publish an approved recovery baseline.</w:t>
      </w:r>
    </w:p>
    <w:p>
      <w:pPr>
        <w:pStyle w:val="ListBullet"/>
      </w:pPr>
      <w:r>
        <w:t>Escalate the migration defect to the steering committee with decision options.</w:t>
      </w:r>
    </w:p>
    <w:p>
      <w:pPr>
        <w:pStyle w:val="ListBullet"/>
      </w:pPr>
      <w:r>
        <w:t>Freeze non-critical scope until reconciliation evidence and cutover readiness are restored.</w:t>
      </w:r>
    </w:p>
    <w:p>
      <w:pPr>
        <w:pStyle w:val="Heading1"/>
      </w:pPr>
      <w:r>
        <w:t>Evidence Interpretation Notes</w:t>
      </w:r>
    </w:p>
    <w:p>
      <w:r>
        <w:t>The report should be interpreted alongside the cost report, risk register, and issue log. The PMO should avoid treating any single indicator as definitive unless it is supported by the registers.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ERP Recovery Monthly Progress Report</dc:title>
  <dc:subject>PMO monthly progress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