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A0"/>
          <w:spacing w:val="40"/>
          <w:sz w:val="19"/>
          <w:szCs w:val="19"/>
        </w:rPr>
        <w:t xml:space="preserve">NOTE D’ÉQUIPE · WORKLY</w:t>
      </w:r>
    </w:p>
    <w:p>
      <w:pPr>
        <w:spacing w:after="80"/>
      </w:pPr>
      <w:r>
        <w:rPr>
          <w:b/>
          <w:bCs/>
          <w:color w:val="1B2A4A"/>
          <w:sz w:val="52"/>
          <w:szCs w:val="52"/>
        </w:rPr>
        <w:t xml:space="preserve">Ce que Workly apporte à une entreprise</w:t>
      </w:r>
    </w:p>
    <w:p>
      <w:pPr>
        <w:spacing w:after="110"/>
      </w:pPr>
      <w:r>
        <w:rPr>
          <w:color w:val="6B7390"/>
          <w:sz w:val="26"/>
          <w:szCs w:val="26"/>
        </w:rPr>
        <w:t xml:space="preserve">Où l’application crée de la valeur, avec quels chiffres, et dans quelles limites</w:t>
      </w:r>
    </w:p>
    <w:p>
      <w:pPr>
        <w:pBdr>
          <w:bottom w:val="single" w:color="6B3FA0" w:sz="10" w:space="8"/>
        </w:pBdr>
        <w:spacing w:after="200"/>
      </w:pPr>
      <w:r>
        <w:rPr>
          <w:color w:val="6B7390"/>
          <w:sz w:val="18"/>
          <w:szCs w:val="18"/>
        </w:rPr>
        <w:t xml:space="preserve">Sous-processus 2.3.3 · Ressources humaines et équipements (CSCMP) · PSCM S9 · Équipe 15 · ENCG Marrakech · 2026/2027</w:t>
      </w:r>
    </w:p>
    <w:p>
      <w:pPr>
        <w:pStyle w:val="Heading1"/>
        <w:keepNext/>
        <w:spacing w:after="110" w:before="300"/>
      </w:pPr>
      <w:r>
        <w:rPr>
          <w:rFonts w:ascii="Calibri" w:cs="Calibri" w:eastAsia="Calibri" w:hAnsi="Calibri"/>
          <w:b/>
          <w:bCs/>
          <w:color w:val="1B2A4A"/>
          <w:sz w:val="30"/>
          <w:szCs w:val="30"/>
        </w:rPr>
        <w:t xml:space="preserve">1. La réponse en bref</w:t>
      </w:r>
    </w:p>
    <w:p>
      <w:pPr>
        <w:keepLines/>
        <w:pBdr>
          <w:left w:val="single" w:color="6B3FA0" w:sz="30" w:space="10"/>
        </w:pBdr>
        <w:shd w:fill="F4F6FB" w:color="auto" w:val="clear"/>
        <w:spacing w:after="160" w:before="60" w:line="285"/>
        <w:ind w:left="240" w:right="120"/>
      </w:pPr>
      <w:r>
        <w:rPr>
          <w:b/>
          <w:bCs/>
          <w:color w:val="2B3350"/>
          <w:sz w:val="23"/>
          <w:szCs w:val="23"/>
        </w:rPr>
        <w:t xml:space="preserve">Workly ne vend rien et ne génère pas de chiffre d’affaires direct : il fait gagner de l’argent là où une entreprise de logistique en perd.</w:t>
      </w:r>
      <w:r>
        <w:rPr>
          <w:color w:val="2B3350"/>
          <w:sz w:val="23"/>
          <w:szCs w:val="23"/>
        </w:rPr>
        <w:t xml:space="preserve"> Il ajuste chaque jour la main-d’œuvre et les équipements d’un entrepôt au volume réel. L’entreprise en tire trois bénéfices : elle dépense moins (moins d’heures supplémentaires et d’heures payées sans travail), elle protège son chiffre d’affaires existant (moins de retards, de pénalités et de pénuries), et elle libère du temps de planification.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FFFFFF" w:sz="24"/>
              <w:left w:val="single" w:color="FFFFFF" w:sz="24"/>
              <w:bottom w:val="single" w:color="FFFFFF" w:sz="24"/>
              <w:right w:val="single" w:color="FFFFFF" w:sz="24"/>
            </w:tcBorders>
            <w:shd w:fill="F4F6FB" w:color="auto" w:val="clear"/>
            <w:tcMar>
              <w:top w:type="dxa" w:w="130"/>
              <w:left w:type="dxa" w:w="140"/>
              <w:bottom w:type="dxa" w:w="130"/>
              <w:right w:type="dxa" w:w="100"/>
            </w:tcMar>
            <w:vAlign w:val="center"/>
          </w:tcPr>
          <w:p>
            <w:pPr>
              <w:spacing w:after="20"/>
            </w:pPr>
            <w:r>
              <w:rPr>
                <w:b/>
                <w:bCs/>
                <w:color w:val="6B3FA0"/>
                <w:sz w:val="36"/>
                <w:szCs w:val="36"/>
              </w:rPr>
              <w:t xml:space="preserve">+15 113 MAD</w:t>
            </w:r>
          </w:p>
          <w:p>
            <w:pPr>
              <w:spacing w:after="0" w:line="240"/>
            </w:pPr>
            <w:r>
              <w:rPr>
                <w:color w:val="6B7390"/>
                <w:sz w:val="18"/>
                <w:szCs w:val="18"/>
              </w:rPr>
              <w:t xml:space="preserve">gain net en 30 jours (démonstration)</w:t>
            </w:r>
          </w:p>
        </w:tc>
        <w:tc>
          <w:tcPr>
            <w:tcW w:type="dxa" w:w="2409"/>
            <w:tcBorders>
              <w:top w:val="single" w:color="FFFFFF" w:sz="24"/>
              <w:left w:val="single" w:color="FFFFFF" w:sz="24"/>
              <w:bottom w:val="single" w:color="FFFFFF" w:sz="24"/>
              <w:right w:val="single" w:color="FFFFFF" w:sz="24"/>
            </w:tcBorders>
            <w:shd w:fill="F4F6FB" w:color="auto" w:val="clear"/>
            <w:tcMar>
              <w:top w:type="dxa" w:w="130"/>
              <w:left w:type="dxa" w:w="140"/>
              <w:bottom w:type="dxa" w:w="130"/>
              <w:right w:type="dxa" w:w="100"/>
            </w:tcMar>
            <w:vAlign w:val="center"/>
          </w:tcPr>
          <w:p>
            <w:pPr>
              <w:spacing w:after="20"/>
            </w:pPr>
            <w:r>
              <w:rPr>
                <w:b/>
                <w:bCs/>
                <w:color w:val="1B2A4A"/>
                <w:sz w:val="36"/>
                <w:szCs w:val="36"/>
              </w:rPr>
              <w:t xml:space="preserve">183 874 MAD</w:t>
            </w:r>
          </w:p>
          <w:p>
            <w:pPr>
              <w:spacing w:after="0" w:line="240"/>
            </w:pPr>
            <w:r>
              <w:rPr>
                <w:color w:val="6B7390"/>
                <w:sz w:val="18"/>
                <w:szCs w:val="18"/>
              </w:rPr>
              <w:t xml:space="preserve">gain annualisé</w:t>
            </w:r>
          </w:p>
        </w:tc>
        <w:tc>
          <w:tcPr>
            <w:tcW w:type="dxa" w:w="2410"/>
            <w:tcBorders>
              <w:top w:val="single" w:color="FFFFFF" w:sz="24"/>
              <w:left w:val="single" w:color="FFFFFF" w:sz="24"/>
              <w:bottom w:val="single" w:color="FFFFFF" w:sz="24"/>
              <w:right w:val="single" w:color="FFFFFF" w:sz="24"/>
            </w:tcBorders>
            <w:shd w:fill="F4F6FB" w:color="auto" w:val="clear"/>
            <w:tcMar>
              <w:top w:type="dxa" w:w="130"/>
              <w:left w:type="dxa" w:w="140"/>
              <w:bottom w:type="dxa" w:w="130"/>
              <w:right w:type="dxa" w:w="100"/>
            </w:tcMar>
            <w:vAlign w:val="center"/>
          </w:tcPr>
          <w:p>
            <w:pPr>
              <w:spacing w:after="20"/>
            </w:pPr>
            <w:r>
              <w:rPr>
                <w:b/>
                <w:bCs/>
                <w:color w:val="6B3FA0"/>
                <w:sz w:val="36"/>
                <w:szCs w:val="36"/>
              </w:rPr>
              <w:t xml:space="preserve">−98 %</w:t>
            </w:r>
          </w:p>
          <w:p>
            <w:pPr>
              <w:spacing w:after="0" w:line="240"/>
            </w:pPr>
            <w:r>
              <w:rPr>
                <w:color w:val="6B7390"/>
                <w:sz w:val="18"/>
                <w:szCs w:val="18"/>
              </w:rPr>
              <w:t xml:space="preserve">de commandes en retard (555 → 12)</w:t>
            </w:r>
          </w:p>
        </w:tc>
        <w:tc>
          <w:tcPr>
            <w:tcW w:type="dxa" w:w="2409"/>
            <w:tcBorders>
              <w:top w:val="single" w:color="FFFFFF" w:sz="24"/>
              <w:left w:val="single" w:color="FFFFFF" w:sz="24"/>
              <w:bottom w:val="single" w:color="FFFFFF" w:sz="24"/>
              <w:right w:val="single" w:color="FFFFFF" w:sz="24"/>
            </w:tcBorders>
            <w:shd w:fill="F4F6FB" w:color="auto" w:val="clear"/>
            <w:tcMar>
              <w:top w:type="dxa" w:w="130"/>
              <w:left w:type="dxa" w:w="140"/>
              <w:bottom w:type="dxa" w:w="130"/>
              <w:right w:type="dxa" w:w="100"/>
            </w:tcMar>
            <w:vAlign w:val="center"/>
          </w:tcPr>
          <w:p>
            <w:pPr>
              <w:spacing w:after="20"/>
            </w:pPr>
            <w:r>
              <w:rPr>
                <w:b/>
                <w:bCs/>
                <w:color w:val="1B2A4A"/>
                <w:sz w:val="36"/>
                <w:szCs w:val="36"/>
              </w:rPr>
              <w:t xml:space="preserve">99,9 %</w:t>
            </w:r>
          </w:p>
          <w:p>
            <w:pPr>
              <w:spacing w:after="0" w:line="240"/>
            </w:pPr>
            <w:r>
              <w:rPr>
                <w:color w:val="6B7390"/>
                <w:sz w:val="18"/>
                <w:szCs w:val="18"/>
              </w:rPr>
              <w:t xml:space="preserve">taux de service (contre 94,6 %)</w:t>
            </w:r>
          </w:p>
        </w:tc>
      </w:tr>
    </w:tbl>
    <w:p>
      <w:pPr>
        <w:spacing w:after="80" w:before="80" w:line="276"/>
      </w:pPr>
      <w:r>
        <w:rPr>
          <w:i/>
          <w:iCs/>
          <w:color w:val="6B7390"/>
          <w:sz w:val="18"/>
          <w:szCs w:val="18"/>
        </w:rPr>
        <w:t xml:space="preserve">Chiffres de la démonstration (onglet Bottom line de l’application), obtenus par simulation sur le jeu de données de démonstration ; voir la section 8.</w:t>
      </w:r>
    </w:p>
    <w:p>
      <w:pPr>
        <w:pStyle w:val="Heading1"/>
        <w:keepNext/>
        <w:spacing w:after="110" w:before="300"/>
      </w:pPr>
      <w:r>
        <w:rPr>
          <w:rFonts w:ascii="Calibri" w:cs="Calibri" w:eastAsia="Calibri" w:hAnsi="Calibri"/>
          <w:b/>
          <w:bCs/>
          <w:color w:val="1B2A4A"/>
          <w:sz w:val="30"/>
          <w:szCs w:val="30"/>
        </w:rPr>
        <w:t xml:space="preserve">2. Le problème : un plan qui ne suit pas le besoin réel</w:t>
      </w:r>
    </w:p>
    <w:p>
      <w:pPr>
        <w:keepNext/>
        <w:spacing w:after="120" w:before="0" w:line="276"/>
      </w:pPr>
      <w:r>
        <w:rPr>
          <w:color w:val="2B3350"/>
          <w:sz w:val="22"/>
          <w:szCs w:val="22"/>
        </w:rPr>
        <w:t xml:space="preserve">La charge d’un entrepôt change chaque jour (volume de commandes, arrivées, saisonnalité), alors que le planning est souvent reconduit d’une semaine à l’autre. L’écart entre le besoin réel et le plan coûte de l’argent dans les deux sens.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cantSplit/>
          <w:tblHeader/>
        </w:trPr>
        <w:tc>
          <w:tcPr>
            <w:tcW w:type="dxa" w:w="23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Situation</w:t>
            </w:r>
          </w:p>
        </w:tc>
        <w:tc>
          <w:tcPr>
            <w:tcW w:type="dxa" w:w="35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Ce qui se passe</w:t>
            </w:r>
          </w:p>
        </w:tc>
        <w:tc>
          <w:tcPr>
            <w:tcW w:type="dxa" w:w="3838"/>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Ce que cela coûte</w:t>
            </w:r>
          </w:p>
        </w:tc>
      </w:tr>
      <w:tr>
        <w:trPr>
          <w:cantSplit/>
        </w:trPr>
        <w:tc>
          <w:tcPr>
            <w:tcW w:type="dxa" w:w="23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Plan trop court (sous-effectif)</w:t>
            </w:r>
          </w:p>
        </w:tc>
        <w:tc>
          <w:tcPr>
            <w:tcW w:type="dxa" w:w="3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Il manque des heures pour traiter les commandes du jour.</w:t>
            </w:r>
          </w:p>
        </w:tc>
        <w:tc>
          <w:tcPr>
            <w:tcW w:type="dxa" w:w="38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Heures supplémentaires payées plus cher ; commandes en retard, donc pénalités et clients mécontents.</w:t>
            </w:r>
          </w:p>
        </w:tc>
      </w:tr>
      <w:tr>
        <w:trPr>
          <w:cantSplit/>
        </w:trPr>
        <w:tc>
          <w:tcPr>
            <w:tcW w:type="dxa" w:w="23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Plan trop large (sureffectif)</w:t>
            </w:r>
          </w:p>
        </w:tc>
        <w:tc>
          <w:tcPr>
            <w:tcW w:type="dxa" w:w="35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Des heures sont payées mais ne servent pas.</w:t>
            </w:r>
          </w:p>
        </w:tc>
        <w:tc>
          <w:tcPr>
            <w:tcW w:type="dxa" w:w="38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Main-d’œuvre payée sans production.</w:t>
            </w:r>
          </w:p>
        </w:tc>
      </w:tr>
      <w:tr>
        <w:trPr>
          <w:cantSplit/>
        </w:trPr>
        <w:tc>
          <w:tcPr>
            <w:tcW w:type="dxa" w:w="23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Équipement manquant</w:t>
            </w:r>
          </w:p>
        </w:tc>
        <w:tc>
          <w:tcPr>
            <w:tcW w:type="dxa" w:w="3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Un chariot, un quai ou une machine fait défaut dans une zone.</w:t>
            </w:r>
          </w:p>
        </w:tc>
        <w:tc>
          <w:tcPr>
            <w:tcW w:type="dxa" w:w="38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Zone ralentie ou à l’arrêt ; perte estimée par jour de pénurie.</w:t>
            </w:r>
          </w:p>
        </w:tc>
      </w:tr>
      <w:tr>
        <w:trPr>
          <w:cantSplit/>
        </w:trPr>
        <w:tc>
          <w:tcPr>
            <w:tcW w:type="dxa" w:w="23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Planification à la main</w:t>
            </w:r>
          </w:p>
        </w:tc>
        <w:tc>
          <w:tcPr>
            <w:tcW w:type="dxa" w:w="35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Tableurs, rapports, surveillance des traitements.</w:t>
            </w:r>
          </w:p>
        </w:tc>
        <w:tc>
          <w:tcPr>
            <w:tcW w:type="dxa" w:w="38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Temps de personnes qualifiées, erreurs, réaction tardive.</w:t>
            </w:r>
          </w:p>
        </w:tc>
      </w:tr>
    </w:tbl>
    <w:p>
      <w:pPr>
        <w:pStyle w:val="Heading1"/>
        <w:keepNext/>
        <w:spacing w:after="110" w:before="300"/>
      </w:pPr>
      <w:r>
        <w:rPr>
          <w:rFonts w:ascii="Calibri" w:cs="Calibri" w:eastAsia="Calibri" w:hAnsi="Calibri"/>
          <w:b/>
          <w:bCs/>
          <w:color w:val="1B2A4A"/>
          <w:sz w:val="30"/>
          <w:szCs w:val="30"/>
        </w:rPr>
        <w:t xml:space="preserve">3. Ce que fait Workly</w:t>
      </w:r>
    </w:p>
    <w:p>
      <w:pPr>
        <w:keepNext/>
        <w:spacing w:after="120" w:before="0" w:line="276"/>
      </w:pPr>
      <w:r>
        <w:rPr>
          <w:color w:val="2B3350"/>
          <w:sz w:val="22"/>
          <w:szCs w:val="22"/>
        </w:rPr>
        <w:t xml:space="preserve">Workly est une application de planification qui traite le sous-processus 2.3.3 de la cartographie CSCMP : elle transforme une prévision de volume en heures de main-d’œuvre, en effectif et en équipements, par site, zone et jour. Ses quatre objectifs se traduisent chacun par un bénéfice pour l’entreprise.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Objectif de l’application</w:t>
            </w:r>
          </w:p>
        </w:tc>
        <w:tc>
          <w:tcPr>
            <w:tcW w:type="dxa" w:w="7138"/>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Ce que l’entreprise y gagne</w:t>
            </w:r>
          </w:p>
        </w:tc>
      </w:tr>
      <w:tr>
        <w:trPr>
          <w:cantSplit/>
        </w:trPr>
        <w:tc>
          <w:tcPr>
            <w:tcW w:type="dxa" w:w="2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1. Prévoir et planifier</w:t>
            </w:r>
          </w:p>
        </w:tc>
        <w:tc>
          <w:tcPr>
            <w:tcW w:type="dxa" w:w="71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Les besoins sont connus à l’avance (prévisions de J+1 à J+14, alertes de sous-effectif, de sureffectif et de pénurie jusqu’à J+7) : on agit avant le problème, pas après.</w:t>
            </w:r>
          </w:p>
        </w:tc>
      </w:tr>
      <w:tr>
        <w:trPr>
          <w:cantSplit/>
        </w:trPr>
        <w:tc>
          <w:tcPr>
            <w:tcW w:type="dxa" w:w="25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2. Suivre la performance</w:t>
            </w:r>
          </w:p>
        </w:tc>
        <w:tc>
          <w:tcPr>
            <w:tcW w:type="dxa" w:w="71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Des KPI comparés à des cibles (vert, orange, rouge) : on pilote par les écarts, pas à l’intuition.</w:t>
            </w:r>
          </w:p>
        </w:tc>
      </w:tr>
      <w:tr>
        <w:trPr>
          <w:cantSplit/>
        </w:trPr>
        <w:tc>
          <w:tcPr>
            <w:tcW w:type="dxa" w:w="2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3. Comparer les modèles</w:t>
            </w:r>
          </w:p>
        </w:tc>
        <w:tc>
          <w:tcPr>
            <w:tcW w:type="dxa" w:w="71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Trois modèles de prévision (régression linéaire, réseau de neurones, gradient boosting) confrontés au réel : on ne garde que le plus fiable, donc moins d’écart entre plan et besoin.</w:t>
            </w:r>
          </w:p>
        </w:tc>
      </w:tr>
      <w:tr>
        <w:trPr>
          <w:cantSplit/>
        </w:trPr>
        <w:tc>
          <w:tcPr>
            <w:tcW w:type="dxa" w:w="25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4. Restituer</w:t>
            </w:r>
          </w:p>
        </w:tc>
        <w:tc>
          <w:tcPr>
            <w:tcW w:type="dxa" w:w="71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Tableaux de bord et rapports automatiques par jour, semaine, mois et année : moins de temps passé à préparer les rapports.</w:t>
            </w:r>
          </w:p>
        </w:tc>
      </w:tr>
      <w:tr>
        <w:trPr>
          <w:cantSplit/>
        </w:trPr>
        <w:tc>
          <w:tcPr>
            <w:tcW w:type="dxa" w:w="2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Automatiser et superviser</w:t>
            </w:r>
          </w:p>
        </w:tc>
        <w:tc>
          <w:tcPr>
            <w:tcW w:type="dxa" w:w="71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Huit étapes chaque nuit sans intervention, un bilan en trois statuts, deux agents IA et un message Slack le matin : un incident est vu avant la journée de travail.</w:t>
            </w:r>
          </w:p>
        </w:tc>
      </w:tr>
    </w:tbl>
    <w:p>
      <w:pPr>
        <w:pStyle w:val="Heading1"/>
        <w:keepNext/>
        <w:spacing w:after="110" w:before="300"/>
      </w:pPr>
      <w:r>
        <w:rPr>
          <w:rFonts w:ascii="Calibri" w:cs="Calibri" w:eastAsia="Calibri" w:hAnsi="Calibri"/>
          <w:b/>
          <w:bCs/>
          <w:color w:val="1B2A4A"/>
          <w:sz w:val="30"/>
          <w:szCs w:val="30"/>
        </w:rPr>
        <w:t xml:space="preserve">4. Où la valeur est créée : cinq leviers</w:t>
      </w:r>
    </w:p>
    <w:p>
      <w:pPr>
        <w:keepNext/>
        <w:spacing w:after="120" w:before="0" w:line="276"/>
      </w:pPr>
      <w:r>
        <w:rPr>
          <w:color w:val="2B3350"/>
          <w:sz w:val="22"/>
          <w:szCs w:val="22"/>
        </w:rPr>
        <w:t xml:space="preserve">L’onglet Bottom line de l’application mesure cinq leviers. Les montants de la dernière colonne viennent de la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3000"/>
        <w:gridCol w:w="1838"/>
      </w:tblGrid>
      <w:tr>
        <w:trPr>
          <w:cantSplit/>
          <w:tblHeader/>
        </w:trPr>
        <w:tc>
          <w:tcPr>
            <w:tcW w:type="dxa" w:w="205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Levier</w:t>
            </w:r>
          </w:p>
        </w:tc>
        <w:tc>
          <w:tcPr>
            <w:tcW w:type="dxa" w:w="275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Comment Workly agit</w:t>
            </w:r>
          </w:p>
        </w:tc>
        <w:tc>
          <w:tcPr>
            <w:tcW w:type="dxa" w:w="30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Comment l’application le chiffre</w:t>
            </w:r>
          </w:p>
        </w:tc>
        <w:tc>
          <w:tcPr>
            <w:tcW w:type="dxa" w:w="1838"/>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Démonstration</w:t>
            </w:r>
          </w:p>
        </w:tc>
      </w:tr>
      <w:tr>
        <w:trPr>
          <w:cantSplit/>
        </w:trPr>
        <w:tc>
          <w:tcPr>
            <w:tcW w:type="dxa" w:w="205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1. Heures supplémentaires évitées</w:t>
            </w:r>
          </w:p>
        </w:tc>
        <w:tc>
          <w:tcPr>
            <w:tcW w:type="dxa" w:w="275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Le plan suit la prévision : moins d’heures à couvrir en urgence.</w:t>
            </w:r>
          </w:p>
        </w:tc>
        <w:tc>
          <w:tcPr>
            <w:tcW w:type="dxa" w:w="30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Heures de déficit × taux horaire des heures supplémentaires.</w:t>
            </w:r>
          </w:p>
        </w:tc>
        <w:tc>
          <w:tcPr>
            <w:tcW w:type="dxa" w:w="18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2 764 MAD pour les deux (coût de main-d’œuvre)</w:t>
            </w:r>
          </w:p>
        </w:tc>
      </w:tr>
      <w:tr>
        <w:trPr>
          <w:cantSplit/>
        </w:trPr>
        <w:tc>
          <w:tcPr>
            <w:tcW w:type="dxa" w:w="205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2. Heures payées mais inutilisées évitées</w:t>
            </w:r>
          </w:p>
        </w:tc>
        <w:tc>
          <w:tcPr>
            <w:tcW w:type="dxa" w:w="275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Le plan n’est plus surdimensionné les jours calmes.</w:t>
            </w:r>
          </w:p>
        </w:tc>
        <w:tc>
          <w:tcPr>
            <w:tcW w:type="dxa" w:w="30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Heures en excès × taux horaire interne.</w:t>
            </w:r>
          </w:p>
        </w:tc>
        <w:tc>
          <w:tcPr>
            <w:tcW w:type="dxa" w:w="18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2 764 MAD pour les deux (coût de main-d’œuvre)</w:t>
            </w:r>
          </w:p>
        </w:tc>
      </w:tr>
      <w:tr>
        <w:trPr>
          <w:cantSplit/>
        </w:trPr>
        <w:tc>
          <w:tcPr>
            <w:tcW w:type="dxa" w:w="205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3. Pénalités de retard évitées</w:t>
            </w:r>
          </w:p>
        </w:tc>
        <w:tc>
          <w:tcPr>
            <w:tcW w:type="dxa" w:w="275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Assez de monde pour traiter les commandes à temps.</w:t>
            </w:r>
          </w:p>
        </w:tc>
        <w:tc>
          <w:tcPr>
            <w:tcW w:type="dxa" w:w="30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Commandes en retard évitées × pénalité par commande (20 MAD par défaut).</w:t>
            </w:r>
          </w:p>
        </w:tc>
        <w:tc>
          <w:tcPr>
            <w:tcW w:type="dxa" w:w="18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10 849 MAD</w:t>
            </w:r>
          </w:p>
        </w:tc>
      </w:tr>
      <w:tr>
        <w:trPr>
          <w:cantSplit/>
        </w:trPr>
        <w:tc>
          <w:tcPr>
            <w:tcW w:type="dxa" w:w="205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4. Pénuries d’équipement évitées</w:t>
            </w:r>
          </w:p>
        </w:tc>
        <w:tc>
          <w:tcPr>
            <w:tcW w:type="dxa" w:w="275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Alerte jusqu’à 7 jours avant la date concernée : le temps d’agir.</w:t>
            </w:r>
          </w:p>
        </w:tc>
        <w:tc>
          <w:tcPr>
            <w:tcW w:type="dxa" w:w="30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Pénuries traitées à l’avance × coût d’un jour de pénurie (1 500 MAD par défaut).</w:t>
            </w:r>
          </w:p>
        </w:tc>
        <w:tc>
          <w:tcPr>
            <w:tcW w:type="dxa" w:w="18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1 500 MAD (1 pénurie)</w:t>
            </w:r>
          </w:p>
        </w:tc>
      </w:tr>
      <w:tr>
        <w:trPr>
          <w:cantSplit/>
        </w:trPr>
        <w:tc>
          <w:tcPr>
            <w:tcW w:type="dxa" w:w="205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5. Temps manuel évité</w:t>
            </w:r>
          </w:p>
        </w:tc>
        <w:tc>
          <w:tcPr>
            <w:tcW w:type="dxa" w:w="275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Huit tâches automatiques chaque nuit : imports, KPI, alertes, prévisions, rapports.</w:t>
            </w:r>
          </w:p>
        </w:tc>
        <w:tc>
          <w:tcPr>
            <w:tcW w:type="dxa" w:w="30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Tâches réussies × 20 min × taux horaire interne.</w:t>
            </w:r>
          </w:p>
        </w:tc>
        <w:tc>
          <w:tcPr>
            <w:tcW w:type="dxa" w:w="18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 2,7 h par nuit, soit ≈ 80 h par mois</w:t>
            </w:r>
          </w:p>
        </w:tc>
      </w:tr>
    </w:tbl>
    <w:p>
      <w:pPr>
        <w:pStyle w:val="Heading1"/>
        <w:keepNext/>
        <w:spacing w:after="110" w:before="300"/>
      </w:pPr>
      <w:r>
        <w:rPr>
          <w:rFonts w:ascii="Calibri" w:cs="Calibri" w:eastAsia="Calibri" w:hAnsi="Calibri"/>
          <w:b/>
          <w:bCs/>
          <w:color w:val="1B2A4A"/>
          <w:sz w:val="30"/>
          <w:szCs w:val="30"/>
        </w:rPr>
        <w:t xml:space="preserve">5. Les chiffres de la démonstration</w:t>
      </w:r>
    </w:p>
    <w:p>
      <w:pPr>
        <w:keepNext/>
        <w:spacing w:after="120" w:before="0" w:line="276"/>
      </w:pPr>
      <w:r>
        <w:rPr>
          <w:color w:val="2B3350"/>
          <w:sz w:val="22"/>
          <w:szCs w:val="22"/>
        </w:rPr>
        <w:t xml:space="preserve">Le Bottom line compare, sur les mêmes jours et le même besoin réel, deux façons de planifier : « sans Workly », où le plan de la semaine précédente est reconduit, et « avec Workly », où le plan suit la prévision.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338"/>
      </w:tblGrid>
      <w:tr>
        <w:trPr>
          <w:cantSplit/>
          <w:tblHeader/>
        </w:trPr>
        <w:tc>
          <w:tcPr>
            <w:tcW w:type="dxa" w:w="35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Indicateur</w:t>
            </w:r>
          </w:p>
        </w:tc>
        <w:tc>
          <w:tcPr>
            <w:tcW w:type="dxa" w:w="19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Sans Workly</w:t>
            </w:r>
          </w:p>
        </w:tc>
        <w:tc>
          <w:tcPr>
            <w:tcW w:type="dxa" w:w="19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Avec Workly</w:t>
            </w:r>
          </w:p>
        </w:tc>
        <w:tc>
          <w:tcPr>
            <w:tcW w:type="dxa" w:w="2338"/>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Écart</w:t>
            </w:r>
          </w:p>
        </w:tc>
      </w:tr>
      <w:tr>
        <w:trPr>
          <w:cantSplit/>
        </w:trPr>
        <w:tc>
          <w:tcPr>
            <w:tcW w:type="dxa" w:w="3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Commandes livrées en retard</w:t>
            </w:r>
          </w:p>
        </w:tc>
        <w:tc>
          <w:tcPr>
            <w:tcW w:type="dxa" w:w="19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555</w:t>
            </w:r>
          </w:p>
        </w:tc>
        <w:tc>
          <w:tcPr>
            <w:tcW w:type="dxa" w:w="19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12</w:t>
            </w:r>
          </w:p>
        </w:tc>
        <w:tc>
          <w:tcPr>
            <w:tcW w:type="dxa" w:w="23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542 évitées (−98 %)</w:t>
            </w:r>
          </w:p>
        </w:tc>
      </w:tr>
      <w:tr>
        <w:trPr>
          <w:cantSplit/>
        </w:trPr>
        <w:tc>
          <w:tcPr>
            <w:tcW w:type="dxa" w:w="35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Taux de service</w:t>
            </w:r>
          </w:p>
        </w:tc>
        <w:tc>
          <w:tcPr>
            <w:tcW w:type="dxa" w:w="19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94,6 %</w:t>
            </w:r>
          </w:p>
        </w:tc>
        <w:tc>
          <w:tcPr>
            <w:tcW w:type="dxa" w:w="19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99,9 %</w:t>
            </w:r>
          </w:p>
        </w:tc>
        <w:tc>
          <w:tcPr>
            <w:tcW w:type="dxa" w:w="23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+5,3 points</w:t>
            </w:r>
          </w:p>
        </w:tc>
      </w:tr>
      <w:tr>
        <w:trPr>
          <w:cantSplit/>
        </w:trPr>
        <w:tc>
          <w:tcPr>
            <w:tcW w:type="dxa" w:w="35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Heures de travail mal allouées</w:t>
            </w:r>
          </w:p>
        </w:tc>
        <w:tc>
          <w:tcPr>
            <w:tcW w:type="dxa" w:w="19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1 348 h</w:t>
            </w:r>
          </w:p>
        </w:tc>
        <w:tc>
          <w:tcPr>
            <w:tcW w:type="dxa" w:w="19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578 h</w:t>
            </w:r>
          </w:p>
        </w:tc>
        <w:tc>
          <w:tcPr>
            <w:tcW w:type="dxa" w:w="23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771 h évitées</w:t>
            </w:r>
          </w:p>
        </w:tc>
      </w:tr>
      <w:tr>
        <w:trPr>
          <w:cantSplit/>
        </w:trPr>
        <w:tc>
          <w:tcPr>
            <w:tcW w:type="dxa" w:w="35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Postes-jours mal alloués</w:t>
            </w:r>
          </w:p>
        </w:tc>
        <w:tc>
          <w:tcPr>
            <w:tcW w:type="dxa" w:w="19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180</w:t>
            </w:r>
          </w:p>
        </w:tc>
        <w:tc>
          <w:tcPr>
            <w:tcW w:type="dxa" w:w="19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77</w:t>
            </w:r>
          </w:p>
        </w:tc>
        <w:tc>
          <w:tcPr>
            <w:tcW w:type="dxa" w:w="23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103 évités</w:t>
            </w:r>
          </w:p>
        </w:tc>
      </w:tr>
    </w:tbl>
    <w:p>
      <w:pPr>
        <w:spacing w:after="120" w:before="60" w:line="276"/>
      </w:pPr>
      <w:r>
        <w:rPr>
          <w:i/>
          <w:iCs/>
          <w:color w:val="6B7390"/>
          <w:sz w:val="18"/>
          <w:szCs w:val="18"/>
        </w:rPr>
        <w:t xml:space="preserve">Les écarts sont calculés par l’application sur des valeurs non arrondies : ils peuvent différer d’une unité de la soustraction des valeurs affichées.</w:t>
      </w:r>
    </w:p>
    <w:p>
      <w:pPr>
        <w:keepNext/>
        <w:spacing w:after="120" w:before="0" w:line="276"/>
      </w:pPr>
      <w:r>
        <w:rPr>
          <w:b/>
          <w:bCs/>
          <w:color w:val="2B3350"/>
          <w:sz w:val="22"/>
          <w:szCs w:val="22"/>
        </w:rPr>
        <w:t xml:space="preserve">Le gain net est de 15 113 MAD </w:t>
      </w:r>
      <w:r>
        <w:rPr>
          <w:color w:val="2B3350"/>
          <w:sz w:val="22"/>
          <w:szCs w:val="22"/>
        </w:rPr>
        <w:t xml:space="preserve">sur la période étudiée : 84 jours-zone comparables (jours × zones), soit environ 30 jours calendaires. Annualisé (× 365 / 30), il atteint </w:t>
      </w:r>
      <w:r>
        <w:rPr>
          <w:b/>
          <w:bCs/>
          <w:color w:val="2B3350"/>
          <w:sz w:val="22"/>
          <w:szCs w:val="22"/>
        </w:rPr>
        <w:t xml:space="preserve">183 874 MAD par an</w:t>
      </w:r>
      <w:r>
        <w:rPr>
          <w:color w:val="2B3350"/>
          <w:sz w:val="22"/>
          <w:szCs w:val="22"/>
        </w:rPr>
        <w:t xml:space="preserve">. Plus des deux tiers viennent des pénalités de retard évitées. À indice 100 pour le planning reconduit, les heures supplémentaires et les pénalités tombent à 2, le gaspillage d’heures à 43 et le coût total à 97 : le coût total baisse peu, mais sa composition change.</w:t>
      </w:r>
    </w:p>
    <w:p>
      <w:pPr>
        <w:keepNext/>
        <w:spacing w:after="40" w:before="60"/>
        <w:jc w:val="center"/>
      </w:pPr>
      <w:r>
        <w:drawing>
          <wp:inline distT="0" distB="0" distL="0" distR="0">
            <wp:extent cx="6096000" cy="2095500"/>
            <wp:effectExtent t="0" r="0" b="0" l="0"/>
            <wp:docPr id="1" name="gain-net" descr="Deux graphiques en barres : le gain net de 15 113 MAD vient à 72 % des pénalités évitées, 18 % de la main-d’œuvre et 10 % d’une pénurie traitée à l’avance ; par zone, l’expédition et le stockage concentrent 84 % du gain de planification." title="Origine du gain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095500"/>
                    </a:xfrm>
                    <a:prstGeom prst="rect">
                      <a:avLst/>
                    </a:prstGeom>
                  </pic:spPr>
                </pic:pic>
              </a:graphicData>
            </a:graphic>
          </wp:inline>
        </w:drawing>
      </w:r>
    </w:p>
    <w:p>
      <w:pPr>
        <w:spacing w:after="80" w:before="0" w:line="276"/>
        <w:jc w:val="center"/>
      </w:pPr>
      <w:r>
        <w:rPr>
          <w:i/>
          <w:iCs/>
          <w:color w:val="6B7390"/>
          <w:sz w:val="18"/>
          <w:szCs w:val="18"/>
        </w:rPr>
        <w:t xml:space="preserve">Figure 1. Origine du gain net et gain de planification par zone (onglet Bottom line).</w:t>
      </w:r>
    </w:p>
    <w:p>
      <w:pPr>
        <w:pStyle w:val="Heading1"/>
        <w:keepNext/>
        <w:spacing w:after="110" w:before="300"/>
      </w:pPr>
      <w:r>
        <w:rPr>
          <w:rFonts w:ascii="Calibri" w:cs="Calibri" w:eastAsia="Calibri" w:hAnsi="Calibri"/>
          <w:b/>
          <w:bCs/>
          <w:color w:val="1B2A4A"/>
          <w:sz w:val="30"/>
          <w:szCs w:val="30"/>
        </w:rPr>
        <w:t xml:space="preserve">6. Comment le gain est calculé</w:t>
      </w:r>
    </w:p>
    <w:p>
      <w:pPr>
        <w:pStyle w:val="ListParagraph"/>
        <w:numPr>
          <w:ilvl w:val="0"/>
          <w:numId w:val="2"/>
        </w:numPr>
        <w:spacing w:after="70" w:line="270"/>
      </w:pPr>
      <w:r>
        <w:rPr>
          <w:color w:val="2B3350"/>
          <w:sz w:val="22"/>
          <w:szCs w:val="22"/>
        </w:rPr>
        <w:t xml:space="preserve">Les deux scénarios font face au même besoin réel : les heures travaillées moins les heures inactives.</w:t>
      </w:r>
    </w:p>
    <w:p>
      <w:pPr>
        <w:pStyle w:val="ListParagraph"/>
        <w:numPr>
          <w:ilvl w:val="0"/>
          <w:numId w:val="2"/>
        </w:numPr>
        <w:spacing w:after="70" w:line="270"/>
      </w:pPr>
      <w:r>
        <w:rPr>
          <w:color w:val="2B3350"/>
          <w:sz w:val="22"/>
          <w:szCs w:val="22"/>
        </w:rPr>
        <w:t xml:space="preserve">« Sans » : le réel du même jour de la semaine passée sert de plan. « Avec » : le plan suit la prévision de la méthode retenue.</w:t>
      </w:r>
    </w:p>
    <w:p>
      <w:pPr>
        <w:pStyle w:val="ListParagraph"/>
        <w:numPr>
          <w:ilvl w:val="0"/>
          <w:numId w:val="2"/>
        </w:numPr>
        <w:spacing w:after="70" w:line="270"/>
      </w:pPr>
      <w:r>
        <w:rPr>
          <w:color w:val="2B3350"/>
          <w:sz w:val="22"/>
          <w:szCs w:val="22"/>
        </w:rPr>
        <w:t xml:space="preserve">Pour chaque jour et chaque zone, un plan trop court crée un déficit couvert en heures supplémentaires ; un plan trop large laisse des heures payées mais inutilisées.</w:t>
      </w:r>
    </w:p>
    <w:p>
      <w:pPr>
        <w:pStyle w:val="ListParagraph"/>
        <w:numPr>
          <w:ilvl w:val="0"/>
          <w:numId w:val="2"/>
        </w:numPr>
        <w:spacing w:after="70" w:line="270"/>
      </w:pPr>
      <w:r>
        <w:rPr>
          <w:color w:val="2B3350"/>
          <w:sz w:val="22"/>
          <w:szCs w:val="22"/>
        </w:rPr>
        <w:t xml:space="preserve">Les commandes en retard dépendent de la part du besoin non couverte (la moitié des commandes du jour quand tout le besoin manque) ; chacune coûte une pénalité.</w:t>
      </w:r>
    </w:p>
    <w:p>
      <w:pPr>
        <w:pStyle w:val="ListParagraph"/>
        <w:numPr>
          <w:ilvl w:val="0"/>
          <w:numId w:val="2"/>
        </w:numPr>
        <w:spacing w:after="70" w:line="270"/>
      </w:pPr>
      <w:r>
        <w:rPr>
          <w:color w:val="2B3350"/>
          <w:sz w:val="22"/>
          <w:szCs w:val="22"/>
        </w:rPr>
        <w:t xml:space="preserve">Gain net = coût « sans » moins coût « avec », plus les pénuries traitées à l’avance, plus le temps manuel évité.</w:t>
      </w:r>
    </w:p>
    <w:p>
      <w:pPr>
        <w:keepNext/>
        <w:spacing w:after="120" w:before="80" w:line="276"/>
      </w:pPr>
      <w:r>
        <w:rPr>
          <w:color w:val="2B3350"/>
          <w:sz w:val="22"/>
          <w:szCs w:val="22"/>
        </w:rPr>
        <w:t xml:space="preserve">Les hypothèses sont des paramètres modifiables par l’administrateur : l’entreprise y met ses propres valeurs.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938"/>
      </w:tblGrid>
      <w:tr>
        <w:trPr>
          <w:cantSplit/>
          <w:tblHeader/>
        </w:trPr>
        <w:tc>
          <w:tcPr>
            <w:tcW w:type="dxa" w:w="37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Paramètre</w:t>
            </w:r>
          </w:p>
        </w:tc>
        <w:tc>
          <w:tcPr>
            <w:tcW w:type="dxa" w:w="20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Valeur par défaut</w:t>
            </w:r>
          </w:p>
        </w:tc>
        <w:tc>
          <w:tcPr>
            <w:tcW w:type="dxa" w:w="3938"/>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Ce que l’entreprise doit faire</w:t>
            </w:r>
          </w:p>
        </w:tc>
      </w:tr>
      <w:tr>
        <w:trPr>
          <w:cantSplit/>
        </w:trPr>
        <w:tc>
          <w:tcPr>
            <w:tcW w:type="dxa" w:w="37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Pénalité par commande en retard</w:t>
            </w:r>
          </w:p>
        </w:tc>
        <w:tc>
          <w:tcPr>
            <w:tcW w:type="dxa" w:w="20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20 MAD</w:t>
            </w:r>
          </w:p>
        </w:tc>
        <w:tc>
          <w:tcPr>
            <w:tcW w:type="dxa" w:w="39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Saisir la pénalité réelle de ses contrats.</w:t>
            </w:r>
          </w:p>
        </w:tc>
      </w:tr>
      <w:tr>
        <w:trPr>
          <w:cantSplit/>
        </w:trPr>
        <w:tc>
          <w:tcPr>
            <w:tcW w:type="dxa" w:w="37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Commandes retardées par heure manquante</w:t>
            </w:r>
          </w:p>
        </w:tc>
        <w:tc>
          <w:tcPr>
            <w:tcW w:type="dxa" w:w="20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0,5</w:t>
            </w:r>
          </w:p>
        </w:tc>
        <w:tc>
          <w:tcPr>
            <w:tcW w:type="dxa" w:w="39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Ajuster selon ses observations.</w:t>
            </w:r>
          </w:p>
        </w:tc>
      </w:tr>
      <w:tr>
        <w:trPr>
          <w:cantSplit/>
        </w:trPr>
        <w:tc>
          <w:tcPr>
            <w:tcW w:type="dxa" w:w="37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Coût d’un jour de pénurie d’équipement</w:t>
            </w:r>
          </w:p>
        </w:tc>
        <w:tc>
          <w:tcPr>
            <w:tcW w:type="dxa" w:w="20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1 500 MAD</w:t>
            </w:r>
          </w:p>
        </w:tc>
        <w:tc>
          <w:tcPr>
            <w:tcW w:type="dxa" w:w="39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Estimer la perte réelle d’une journée.</w:t>
            </w:r>
          </w:p>
        </w:tc>
      </w:tr>
      <w:tr>
        <w:trPr>
          <w:cantSplit/>
        </w:trPr>
        <w:tc>
          <w:tcPr>
            <w:tcW w:type="dxa" w:w="37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Temps manuel évité par tâche automatique</w:t>
            </w:r>
          </w:p>
        </w:tc>
        <w:tc>
          <w:tcPr>
            <w:tcW w:type="dxa" w:w="20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20 min</w:t>
            </w:r>
          </w:p>
        </w:tc>
        <w:tc>
          <w:tcPr>
            <w:tcW w:type="dxa" w:w="39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Mesurer le temps réel d’une personne.</w:t>
            </w:r>
          </w:p>
        </w:tc>
      </w:tr>
      <w:tr>
        <w:trPr>
          <w:cantSplit/>
        </w:trPr>
        <w:tc>
          <w:tcPr>
            <w:tcW w:type="dxa" w:w="37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Coût de mise en place de Workly</w:t>
            </w:r>
          </w:p>
        </w:tc>
        <w:tc>
          <w:tcPr>
            <w:tcW w:type="dxa" w:w="20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Non renseigné</w:t>
            </w:r>
          </w:p>
        </w:tc>
        <w:tc>
          <w:tcPr>
            <w:tcW w:type="dxa" w:w="39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val="false"/>
                <w:bCs w:val="false"/>
                <w:color w:val="2B3350"/>
                <w:sz w:val="20"/>
                <w:szCs w:val="20"/>
              </w:rPr>
              <w:t xml:space="preserve">Saisir l’investissement pour obtenir le retour sur investissement.</w:t>
            </w:r>
          </w:p>
        </w:tc>
      </w:tr>
    </w:tbl>
    <w:p>
      <w:pPr>
        <w:pStyle w:val="Heading1"/>
        <w:keepNext/>
        <w:spacing w:after="110" w:before="300"/>
      </w:pPr>
      <w:r>
        <w:rPr>
          <w:rFonts w:ascii="Calibri" w:cs="Calibri" w:eastAsia="Calibri" w:hAnsi="Calibri"/>
          <w:b/>
          <w:bCs/>
          <w:color w:val="1B2A4A"/>
          <w:sz w:val="30"/>
          <w:szCs w:val="30"/>
        </w:rPr>
        <w:t xml:space="preserve">7. Sensibilité et rentabilité</w:t>
      </w:r>
    </w:p>
    <w:p>
      <w:pPr>
        <w:keepNext/>
        <w:spacing w:after="120" w:before="0" w:line="276"/>
      </w:pPr>
      <w:r>
        <w:rPr>
          <w:color w:val="2B3350"/>
          <w:sz w:val="22"/>
          <w:szCs w:val="22"/>
        </w:rPr>
        <w:t xml:space="preserve">Le résultat dépend surtout de la pénalité par commande en retard. En faisant varier ce seul paramètre, avec le reste inchangé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938"/>
      </w:tblGrid>
      <w:tr>
        <w:trPr>
          <w:cantSplit/>
          <w:tblHeader/>
        </w:trPr>
        <w:tc>
          <w:tcPr>
            <w:tcW w:type="dxa" w:w="38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pPr>
            <w:r>
              <w:rPr>
                <w:b/>
                <w:bCs/>
                <w:color w:val="FFFFFF"/>
                <w:sz w:val="19"/>
                <w:szCs w:val="19"/>
              </w:rPr>
              <w:t xml:space="preserve">Pénalité par commande en retard</w:t>
            </w:r>
          </w:p>
        </w:tc>
        <w:tc>
          <w:tcPr>
            <w:tcW w:type="dxa" w:w="2900"/>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Gain net sur 30 jours</w:t>
            </w:r>
          </w:p>
        </w:tc>
        <w:tc>
          <w:tcPr>
            <w:tcW w:type="dxa" w:w="2938"/>
            <w:tcBorders>
              <w:top w:val="single" w:color="D5DAE8" w:sz="4"/>
              <w:left w:val="single" w:color="D5DAE8" w:sz="4"/>
              <w:bottom w:val="single" w:color="D5DAE8" w:sz="4"/>
              <w:right w:val="single" w:color="D5DAE8" w:sz="4"/>
            </w:tcBorders>
            <w:shd w:fill="1B2A4A"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Gain annualisé</w:t>
            </w:r>
          </w:p>
        </w:tc>
      </w:tr>
      <w:tr>
        <w:trPr>
          <w:cantSplit/>
        </w:trPr>
        <w:tc>
          <w:tcPr>
            <w:tcW w:type="dxa" w:w="38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0 MAD (aucune pénalité)</w:t>
            </w:r>
          </w:p>
        </w:tc>
        <w:tc>
          <w:tcPr>
            <w:tcW w:type="dxa" w:w="29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 4 300 MAD</w:t>
            </w:r>
          </w:p>
        </w:tc>
        <w:tc>
          <w:tcPr>
            <w:tcW w:type="dxa" w:w="29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 52 000 MAD</w:t>
            </w:r>
          </w:p>
        </w:tc>
      </w:tr>
      <w:tr>
        <w:trPr>
          <w:cantSplit/>
        </w:trPr>
        <w:tc>
          <w:tcPr>
            <w:tcW w:type="dxa" w:w="38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10 MAD</w:t>
            </w:r>
          </w:p>
        </w:tc>
        <w:tc>
          <w:tcPr>
            <w:tcW w:type="dxa" w:w="29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 9 700 MAD</w:t>
            </w:r>
          </w:p>
        </w:tc>
        <w:tc>
          <w:tcPr>
            <w:tcW w:type="dxa" w:w="29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 118 000 MAD</w:t>
            </w:r>
          </w:p>
        </w:tc>
      </w:tr>
      <w:tr>
        <w:trPr>
          <w:cantSplit/>
        </w:trPr>
        <w:tc>
          <w:tcPr>
            <w:tcW w:type="dxa" w:w="38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pPr>
            <w:r>
              <w:rPr>
                <w:b/>
                <w:bCs/>
                <w:color w:val="1B2A4A"/>
                <w:sz w:val="20"/>
                <w:szCs w:val="20"/>
              </w:rPr>
              <w:t xml:space="preserve">20 MAD (valeur de la démonstration)</w:t>
            </w:r>
          </w:p>
        </w:tc>
        <w:tc>
          <w:tcPr>
            <w:tcW w:type="dxa" w:w="2900"/>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15 113 MAD</w:t>
            </w:r>
          </w:p>
        </w:tc>
        <w:tc>
          <w:tcPr>
            <w:tcW w:type="dxa" w:w="2938"/>
            <w:tcBorders>
              <w:top w:val="single" w:color="D5DAE8" w:sz="4"/>
              <w:left w:val="single" w:color="D5DAE8" w:sz="4"/>
              <w:bottom w:val="single" w:color="D5DAE8" w:sz="4"/>
              <w:right w:val="single" w:color="D5DAE8" w:sz="4"/>
            </w:tcBorders>
            <w:shd w:fill="FFFFFF"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183 874 MAD</w:t>
            </w:r>
          </w:p>
        </w:tc>
      </w:tr>
      <w:tr>
        <w:trPr>
          <w:cantSplit/>
        </w:trPr>
        <w:tc>
          <w:tcPr>
            <w:tcW w:type="dxa" w:w="38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pPr>
            <w:r>
              <w:rPr>
                <w:b/>
                <w:bCs/>
                <w:color w:val="1B2A4A"/>
                <w:sz w:val="20"/>
                <w:szCs w:val="20"/>
              </w:rPr>
              <w:t xml:space="preserve">40 MAD</w:t>
            </w:r>
          </w:p>
        </w:tc>
        <w:tc>
          <w:tcPr>
            <w:tcW w:type="dxa" w:w="2900"/>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 26 000 MAD</w:t>
            </w:r>
          </w:p>
        </w:tc>
        <w:tc>
          <w:tcPr>
            <w:tcW w:type="dxa" w:w="2938"/>
            <w:tcBorders>
              <w:top w:val="single" w:color="D5DAE8" w:sz="4"/>
              <w:left w:val="single" w:color="D5DAE8" w:sz="4"/>
              <w:bottom w:val="single" w:color="D5DAE8" w:sz="4"/>
              <w:right w:val="single" w:color="D5DAE8" w:sz="4"/>
            </w:tcBorders>
            <w:shd w:fill="F4F6FB" w:color="auto" w:val="clear"/>
            <w:tcMar>
              <w:top w:type="dxa" w:w="70"/>
              <w:left w:type="dxa" w:w="110"/>
              <w:bottom w:type="dxa" w:w="70"/>
              <w:right w:type="dxa" w:w="110"/>
            </w:tcMar>
            <w:vAlign w:val="center"/>
          </w:tcPr>
          <w:p>
            <w:pPr>
              <w:spacing w:after="0" w:line="252"/>
              <w:jc w:val="center"/>
            </w:pPr>
            <w:r>
              <w:rPr>
                <w:b w:val="false"/>
                <w:bCs w:val="false"/>
                <w:color w:val="2B3350"/>
                <w:sz w:val="20"/>
                <w:szCs w:val="20"/>
              </w:rPr>
              <w:t xml:space="preserve">≈ 316 000 MAD</w:t>
            </w:r>
          </w:p>
        </w:tc>
      </w:tr>
    </w:tbl>
    <w:p>
      <w:pPr>
        <w:spacing w:after="120" w:before="80" w:line="276"/>
      </w:pPr>
      <w:r>
        <w:rPr>
          <w:color w:val="2B3350"/>
          <w:sz w:val="22"/>
          <w:szCs w:val="22"/>
        </w:rPr>
        <w:t xml:space="preserve">Même sans aucune pénalité, le gain reste positif : les heures de main-d’œuvre et la pénurie évitées suffisent.</w:t>
      </w:r>
    </w:p>
    <w:p>
      <w:pPr>
        <w:spacing w:after="120" w:before="0" w:line="276"/>
      </w:pPr>
      <w:r>
        <w:rPr>
          <w:b/>
          <w:bCs/>
          <w:color w:val="2B3350"/>
          <w:sz w:val="22"/>
          <w:szCs w:val="22"/>
        </w:rPr>
        <w:t xml:space="preserve">Exemple illustratif de rentabilité (hypothèse, pas une donnée du projet). </w:t>
      </w:r>
      <w:r>
        <w:rPr>
          <w:color w:val="2B3350"/>
          <w:sz w:val="22"/>
          <w:szCs w:val="22"/>
        </w:rPr>
        <w:t xml:space="preserve">Pour un investissement de 100 000 MAD, le retour sur investissement la première année serait de (183 874 − 100 000) / 100 000 ≈ 84 %, et l’investissement serait récupéré en 100 000 / (183 874 / 12) ≈ 6,5 mois. Dans l’application, le coût de mise en place n’est pas renseigné : le retour sur investissement s’affiche « à calculer ».</w:t>
      </w:r>
    </w:p>
    <w:p>
      <w:pPr>
        <w:pStyle w:val="Heading1"/>
        <w:keepNext/>
        <w:spacing w:after="110" w:before="300"/>
      </w:pPr>
      <w:r>
        <w:rPr>
          <w:rFonts w:ascii="Calibri" w:cs="Calibri" w:eastAsia="Calibri" w:hAnsi="Calibri"/>
          <w:b/>
          <w:bCs/>
          <w:color w:val="1B2A4A"/>
          <w:sz w:val="30"/>
          <w:szCs w:val="30"/>
        </w:rPr>
        <w:t xml:space="preserve">8. Limites : ce qu’il faut dire honnêtement</w:t>
      </w:r>
    </w:p>
    <w:p>
      <w:pPr>
        <w:pStyle w:val="ListParagraph"/>
        <w:numPr>
          <w:ilvl w:val="0"/>
          <w:numId w:val="2"/>
        </w:numPr>
        <w:spacing w:after="70" w:line="270"/>
      </w:pPr>
      <w:r>
        <w:rPr>
          <w:b/>
          <w:bCs/>
          <w:color w:val="2B3350"/>
          <w:sz w:val="22"/>
          <w:szCs w:val="22"/>
        </w:rPr>
        <w:t xml:space="preserve">Données de démonstration. </w:t>
      </w:r>
      <w:r>
        <w:rPr>
          <w:color w:val="2B3350"/>
          <w:sz w:val="22"/>
          <w:szCs w:val="22"/>
        </w:rPr>
        <w:t xml:space="preserve">Les gains sont une simulation sur un historique, calculée comme s’il s’agissait de résultats réels : ce n’est pas une économie mesurée dans une entreprise en production.</w:t>
      </w:r>
    </w:p>
    <w:p>
      <w:pPr>
        <w:pStyle w:val="ListParagraph"/>
        <w:numPr>
          <w:ilvl w:val="0"/>
          <w:numId w:val="2"/>
        </w:numPr>
        <w:spacing w:after="70" w:line="270"/>
      </w:pPr>
      <w:r>
        <w:rPr>
          <w:b/>
          <w:bCs/>
          <w:color w:val="2B3350"/>
          <w:sz w:val="22"/>
          <w:szCs w:val="22"/>
        </w:rPr>
        <w:t xml:space="preserve">Point de comparaison simple. </w:t>
      </w:r>
      <w:r>
        <w:rPr>
          <w:color w:val="2B3350"/>
          <w:sz w:val="22"/>
          <w:szCs w:val="22"/>
        </w:rPr>
        <w:t xml:space="preserve">« Reconduire la semaine passée » est volontairement basique : un bon planificateur humain ferait mieux, donc l’écart réel serait plus faible.</w:t>
      </w:r>
    </w:p>
    <w:p>
      <w:pPr>
        <w:pStyle w:val="ListParagraph"/>
        <w:numPr>
          <w:ilvl w:val="0"/>
          <w:numId w:val="2"/>
        </w:numPr>
        <w:spacing w:after="70" w:line="270"/>
      </w:pPr>
      <w:r>
        <w:rPr>
          <w:b/>
          <w:bCs/>
          <w:color w:val="2B3350"/>
          <w:sz w:val="22"/>
          <w:szCs w:val="22"/>
        </w:rPr>
        <w:t xml:space="preserve">Hypothèses par défaut. </w:t>
      </w:r>
      <w:r>
        <w:rPr>
          <w:color w:val="2B3350"/>
          <w:sz w:val="22"/>
          <w:szCs w:val="22"/>
        </w:rPr>
        <w:t xml:space="preserve">La pénalité de 20 MAD, la sensibilité de 0,5 et le coût de pénurie de 1 500 MAD sont des valeurs de départ, pas des mesures.</w:t>
      </w:r>
    </w:p>
    <w:p>
      <w:pPr>
        <w:pStyle w:val="ListParagraph"/>
        <w:numPr>
          <w:ilvl w:val="0"/>
          <w:numId w:val="2"/>
        </w:numPr>
        <w:spacing w:after="70" w:line="270"/>
      </w:pPr>
      <w:r>
        <w:rPr>
          <w:b/>
          <w:bCs/>
          <w:color w:val="2B3350"/>
          <w:sz w:val="22"/>
          <w:szCs w:val="22"/>
        </w:rPr>
        <w:t xml:space="preserve">Une alerte ne vaut que si elle est traitée. </w:t>
      </w:r>
      <w:r>
        <w:rPr>
          <w:color w:val="2B3350"/>
          <w:sz w:val="22"/>
          <w:szCs w:val="22"/>
        </w:rPr>
        <w:t xml:space="preserve">Dans la démonstration, 5 alertes sur 18 sont traitées (28 %), avec 18,3 h de délai moyen de prise en charge, et une seule pénurie a été traitée à l’avance : la valeur dépend aussi de l’organisation.</w:t>
      </w:r>
    </w:p>
    <w:p>
      <w:pPr>
        <w:pStyle w:val="ListParagraph"/>
        <w:numPr>
          <w:ilvl w:val="0"/>
          <w:numId w:val="2"/>
        </w:numPr>
        <w:spacing w:after="70" w:line="270"/>
      </w:pPr>
      <w:r>
        <w:rPr>
          <w:b/>
          <w:bCs/>
          <w:color w:val="2B3350"/>
          <w:sz w:val="22"/>
          <w:szCs w:val="22"/>
        </w:rPr>
        <w:t xml:space="preserve">Coûts non inclus. </w:t>
      </w:r>
      <w:r>
        <w:rPr>
          <w:color w:val="2B3350"/>
          <w:sz w:val="22"/>
          <w:szCs w:val="22"/>
        </w:rPr>
        <w:t xml:space="preserve">Licence, hébergement, maintenance et formation ne figurent pas dans le gain ; le retour sur investissement reste à calculer.</w:t>
      </w:r>
    </w:p>
    <w:p>
      <w:pPr>
        <w:pStyle w:val="ListParagraph"/>
        <w:numPr>
          <w:ilvl w:val="0"/>
          <w:numId w:val="2"/>
        </w:numPr>
        <w:spacing w:after="70" w:line="270"/>
      </w:pPr>
      <w:r>
        <w:rPr>
          <w:b/>
          <w:bCs/>
          <w:color w:val="2B3350"/>
          <w:sz w:val="22"/>
          <w:szCs w:val="22"/>
        </w:rPr>
        <w:t xml:space="preserve">Workly aide à décider, il ne décide pas. </w:t>
      </w:r>
      <w:r>
        <w:rPr>
          <w:color w:val="2B3350"/>
          <w:sz w:val="22"/>
          <w:szCs w:val="22"/>
        </w:rPr>
        <w:t xml:space="preserve">L’activation d’un modèle et le traitement des alertes restent des décisions humaines.</w:t>
      </w:r>
    </w:p>
    <w:p>
      <w:pPr>
        <w:pStyle w:val="Heading1"/>
        <w:keepNext/>
        <w:spacing w:after="110" w:before="300"/>
      </w:pPr>
      <w:r>
        <w:rPr>
          <w:rFonts w:ascii="Calibri" w:cs="Calibri" w:eastAsia="Calibri" w:hAnsi="Calibri"/>
          <w:b/>
          <w:bCs/>
          <w:color w:val="1B2A4A"/>
          <w:sz w:val="30"/>
          <w:szCs w:val="30"/>
        </w:rPr>
        <w:t xml:space="preserve">9. À retenir</w:t>
      </w:r>
    </w:p>
    <w:p>
      <w:pPr>
        <w:keepLines/>
        <w:pBdr>
          <w:left w:val="single" w:color="1B2A4A" w:sz="30" w:space="10"/>
        </w:pBdr>
        <w:shd w:fill="F4F6FB" w:color="auto" w:val="clear"/>
        <w:spacing w:after="160" w:before="60" w:line="285"/>
        <w:ind w:left="240" w:right="120"/>
      </w:pPr>
      <w:r>
        <w:rPr>
          <w:b/>
          <w:bCs/>
          <w:color w:val="2B3350"/>
          <w:sz w:val="23"/>
          <w:szCs w:val="23"/>
        </w:rPr>
        <w:t xml:space="preserve">En 30 secondes. </w:t>
      </w:r>
      <w:r>
        <w:rPr>
          <w:color w:val="2B3350"/>
          <w:sz w:val="23"/>
          <w:szCs w:val="23"/>
        </w:rPr>
        <w:t xml:space="preserve">Workly ne génère pas de chiffre d’affaires direct : il réduit les coûts de main-d’œuvre et d’équipement, protège le chiffre d’affaires existant (service, pénalités, pénuries) et fait gagner du temps. Sur la démonstration, la simulation donne +15 113 MAD en 30 jours, soit environ 184 000 MAD par an, dont 72 % viennent des pénalités de retard évitées. Ces montants dépendent de paramètres que l’entreprise remplace par ses propres valeurs.</w:t>
      </w:r>
    </w:p>
    <w:p>
      <w:pPr>
        <w:keepNext/>
        <w:spacing w:after="80" w:before="0" w:line="276"/>
      </w:pPr>
      <w:r>
        <w:rPr>
          <w:b/>
          <w:bCs/>
          <w:color w:val="1B2A4A"/>
          <w:sz w:val="22"/>
          <w:szCs w:val="22"/>
        </w:rPr>
        <w:t xml:space="preserve">Pour mesurer la valeur dans une entreprise réelle</w:t>
      </w:r>
    </w:p>
    <w:p>
      <w:pPr>
        <w:pStyle w:val="ListParagraph"/>
        <w:numPr>
          <w:ilvl w:val="0"/>
          <w:numId w:val="3"/>
        </w:numPr>
        <w:spacing w:after="70" w:line="270"/>
      </w:pPr>
      <w:r>
        <w:rPr>
          <w:color w:val="2B3350"/>
          <w:sz w:val="22"/>
          <w:szCs w:val="22"/>
        </w:rPr>
        <w:t xml:space="preserve">Importer l’historique d’activité (quelques mois) et les prévisions de volume du système source.</w:t>
      </w:r>
    </w:p>
    <w:p>
      <w:pPr>
        <w:pStyle w:val="ListParagraph"/>
        <w:numPr>
          <w:ilvl w:val="0"/>
          <w:numId w:val="3"/>
        </w:numPr>
        <w:spacing w:after="70" w:line="270"/>
      </w:pPr>
      <w:r>
        <w:rPr>
          <w:color w:val="2B3350"/>
          <w:sz w:val="22"/>
          <w:szCs w:val="22"/>
        </w:rPr>
        <w:t xml:space="preserve">Saisir les vrais paramètres : taux horaires, pénalité par commande en retard, coût d’un jour de pénurie, coût de mise en place.</w:t>
      </w:r>
    </w:p>
    <w:p>
      <w:pPr>
        <w:pStyle w:val="ListParagraph"/>
        <w:numPr>
          <w:ilvl w:val="0"/>
          <w:numId w:val="3"/>
        </w:numPr>
        <w:spacing w:after="70" w:line="270"/>
      </w:pPr>
      <w:r>
        <w:rPr>
          <w:color w:val="2B3350"/>
          <w:sz w:val="22"/>
          <w:szCs w:val="22"/>
        </w:rPr>
        <w:t xml:space="preserve">Laisser tourner la chaîne de nuit pendant 30 jours, puis lire l’onglet Bottom line : gain net, gain annualisé, retour sur investissement.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8" w:sz="4" w:space="6"/>
      </w:pBdr>
      <w:tabs>
        <w:tab w:val="right" w:pos="9638"/>
      </w:tabs>
    </w:pPr>
    <w:r>
      <w:rPr>
        <w:color w:val="6B7390"/>
        <w:sz w:val="17"/>
        <w:szCs w:val="17"/>
      </w:rPr>
      <w:t xml:space="preserve">Workly · valeur pour l’entreprise · Équipe 15</w:t>
    </w:r>
    <w:r>
      <w:rPr>
        <w:color w:val="6B7390"/>
        <w:sz w:val="17"/>
        <w:szCs w:val="17"/>
      </w:rPr>
      <w:t xml:space="preserve">	Page </w:t>
    </w:r>
    <w:r>
      <w:rPr>
        <w:color w:val="6B7390"/>
        <w:sz w:val="17"/>
        <w:szCs w:val="17"/>
      </w:rPr>
      <w:fldChar w:fldCharType="begin"/>
      <w:instrText xml:space="preserve">PAGE</w:instrText>
      <w:fldChar w:fldCharType="separate"/>
      <w:fldChar w:fldCharType="end"/>
    </w:r>
    <w:r>
      <w:rPr>
        <w:color w:val="6B7390"/>
        <w:sz w:val="17"/>
        <w:szCs w:val="17"/>
      </w:rPr>
      <w:t xml:space="preserve"> / </w:t>
    </w:r>
    <w:r>
      <w:rPr>
        <w:color w:val="6B739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rPr>
        <w:color w:val="6B3FA0"/>
      </w:rPr>
    </w:lvl>
  </w:abstractNum>
  <w:abstractNum w:abstractNumId="3" w15:restartNumberingAfterBreak="0">
    <w:multiLevelType w:val="hybridMultilevel"/>
    <w:lvl w:ilvl="0" w:tentative="1">
      <w:start w:val="1"/>
      <w:numFmt w:val="decimal"/>
      <w:lvlText w:val="%1."/>
      <w:lvlJc w:val="left"/>
      <w:pPr>
        <w:ind w:left="460" w:hanging="320"/>
      </w:pPr>
      <w:rPr>
        <w:b/>
        <w:bCs/>
        <w:color w:val="6B3FA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35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Calibri" w:cs="Calibri" w:eastAsia="Calibri" w:hAnsi="Calibri"/>
      <w:b/>
      <w:bCs/>
      <w:color w:val="1B2A4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371a287452c790dc735896292854a3b17d2a8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 que Workly apporte à une entreprise</dc:title>
  <dc:creator>Équipe 15</dc:creator>
  <dc:description>Valeur de l’application Workly pour une entreprise</dc:description>
  <cp:lastModifiedBy>Un-named</cp:lastModifiedBy>
  <cp:revision>1</cp:revision>
  <dcterms:created xsi:type="dcterms:W3CDTF">2026-10-15T00:22:50.095Z</dcterms:created>
  <dcterms:modified xsi:type="dcterms:W3CDTF">2026-10-15T00:22:50.095Z</dcterms:modified>
</cp:coreProperties>
</file>

<file path=docProps/custom.xml><?xml version="1.0" encoding="utf-8"?>
<Properties xmlns="http://schemas.openxmlformats.org/officeDocument/2006/custom-properties" xmlns:vt="http://schemas.openxmlformats.org/officeDocument/2006/docPropsVTypes"/>
</file>