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82772D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0C6D3058"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53E46713" w14:textId="77777777" w:rsidR="00D7522C" w:rsidRDefault="00D7522C" w:rsidP="003B4E04">
      <w:pPr>
        <w:pStyle w:val="Author"/>
        <w:spacing w:before="5pt" w:beforeAutospacing="1" w:after="5pt" w:afterAutospacing="1" w:line="6pt" w:lineRule="auto"/>
        <w:rPr>
          <w:sz w:val="16"/>
          <w:szCs w:val="16"/>
        </w:rPr>
      </w:pPr>
    </w:p>
    <w:p w14:paraId="7C532C33"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DD39ABD"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59E40206"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B2E9751"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656FD0E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DAEC70D"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51704F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19A816F" w14:textId="198E992B" w:rsidR="00ED02E7" w:rsidRPr="00B56E88" w:rsidRDefault="00ED02E7" w:rsidP="00ED02E7">
      <w:pPr>
        <w:pStyle w:val="Keywords"/>
        <w:rPr>
          <w:i w:val="0"/>
        </w:rPr>
      </w:pPr>
      <w:r>
        <w:rPr>
          <w:iCs/>
        </w:rPr>
        <w:t>Abstract</w:t>
      </w:r>
      <w:r>
        <w:t xml:space="preserve">— </w:t>
      </w:r>
      <w:r w:rsidRPr="009402E7">
        <w:rPr>
          <w:i w:val="0"/>
        </w:rPr>
        <w:t>Community detection is a fundamental concept</w:t>
      </w:r>
      <w:r>
        <w:rPr>
          <w:i w:val="0"/>
        </w:rPr>
        <w:t xml:space="preserve"> </w:t>
      </w:r>
      <w:r w:rsidRPr="009402E7">
        <w:rPr>
          <w:i w:val="0"/>
        </w:rPr>
        <w:t>in graph analytics that identifies densely connected groups within</w:t>
      </w:r>
      <w:r>
        <w:rPr>
          <w:i w:val="0"/>
        </w:rPr>
        <w:t xml:space="preserve"> </w:t>
      </w:r>
      <w:r w:rsidRPr="009402E7">
        <w:rPr>
          <w:i w:val="0"/>
        </w:rPr>
        <w:t>a network. It has a significant role in analyzing large-scale data</w:t>
      </w:r>
      <w:r>
        <w:rPr>
          <w:i w:val="0"/>
        </w:rPr>
        <w:t xml:space="preserve"> </w:t>
      </w:r>
      <w:r w:rsidRPr="009402E7">
        <w:rPr>
          <w:i w:val="0"/>
        </w:rPr>
        <w:t>such as social networks, citation networks, and communication</w:t>
      </w:r>
      <w:r>
        <w:rPr>
          <w:i w:val="0"/>
        </w:rPr>
        <w:t xml:space="preserve"> </w:t>
      </w:r>
      <w:r w:rsidRPr="009402E7">
        <w:rPr>
          <w:i w:val="0"/>
        </w:rPr>
        <w:t>systems. Even though there are many algorithms to detect</w:t>
      </w:r>
      <w:r>
        <w:rPr>
          <w:i w:val="0"/>
        </w:rPr>
        <w:t xml:space="preserve"> </w:t>
      </w:r>
      <w:r w:rsidRPr="009402E7">
        <w:rPr>
          <w:i w:val="0"/>
        </w:rPr>
        <w:t>communities within networks, their scalability and computational</w:t>
      </w:r>
      <w:r>
        <w:rPr>
          <w:i w:val="0"/>
        </w:rPr>
        <w:t xml:space="preserve"> </w:t>
      </w:r>
      <w:r w:rsidRPr="009402E7">
        <w:rPr>
          <w:i w:val="0"/>
        </w:rPr>
        <w:t>efficiency remain major challenges when applied to Big Data</w:t>
      </w:r>
      <w:r>
        <w:rPr>
          <w:i w:val="0"/>
        </w:rPr>
        <w:t xml:space="preserve"> </w:t>
      </w:r>
      <w:r w:rsidRPr="009402E7">
        <w:rPr>
          <w:i w:val="0"/>
        </w:rPr>
        <w:t>environments</w:t>
      </w:r>
      <w:r>
        <w:rPr>
          <w:i w:val="0"/>
        </w:rPr>
        <w:t xml:space="preserve"> </w:t>
      </w:r>
      <w:r w:rsidRPr="009402E7">
        <w:rPr>
          <w:i w:val="0"/>
        </w:rPr>
        <w:t>with millions of nodes. This study presents a comparative</w:t>
      </w:r>
      <w:r>
        <w:rPr>
          <w:i w:val="0"/>
        </w:rPr>
        <w:t xml:space="preserve"> </w:t>
      </w:r>
      <w:r w:rsidRPr="009402E7">
        <w:rPr>
          <w:i w:val="0"/>
        </w:rPr>
        <w:t>experimental evaluation of three widely-used community detection algorithms, such as the Louvain method, Spectral Clustering, and Girvan-Newman, under increasing graph sizes (1k to 20k nodes) and sparsity conditions. The execution time, memory consumption, and clustering quality (modularity score) are analyzed to identify performance and scalability trade-offs. Experiments are conducted on both synthetically generated graphs using Stochastic Block Models and real-world Facebook social network data. This research provides practical guidance for practitioners in selecting appropriate algorithms for large-scale graph analytics applications.</w:t>
      </w:r>
      <w:r>
        <w:rPr>
          <w:i w:val="0"/>
        </w:rPr>
        <w:t xml:space="preserve"> </w:t>
      </w:r>
      <w:r w:rsidRPr="007C0308">
        <w:rPr>
          <w:iCs/>
        </w:rPr>
        <w:t>(</w:t>
      </w:r>
      <w:r w:rsidRPr="005B0344">
        <w:rPr>
          <w:b w:val="0"/>
          <w:iCs/>
        </w:rPr>
        <w:t>Abstract</w:t>
      </w:r>
      <w:r w:rsidRPr="007C0308">
        <w:rPr>
          <w:iCs/>
        </w:rPr>
        <w:t>)</w:t>
      </w:r>
    </w:p>
    <w:p w14:paraId="7194C80D" w14:textId="66F1489A" w:rsidR="009303D9" w:rsidRPr="004D72B5" w:rsidRDefault="004D72B5" w:rsidP="00972203">
      <w:pPr>
        <w:pStyle w:val="Keywords"/>
      </w:pPr>
      <w:r w:rsidRPr="004D72B5">
        <w:t>Keywords—</w:t>
      </w:r>
      <w:r w:rsidR="0000621D" w:rsidRPr="0000621D">
        <w:t xml:space="preserve"> </w:t>
      </w:r>
      <w:r w:rsidR="0000621D">
        <w:t xml:space="preserve">Community detection, Graph scalability, Network clustering, Algorithm comparison, Modularity optimization, Big Data analytics </w:t>
      </w:r>
      <w:r w:rsidR="0000621D" w:rsidRPr="004D72B5">
        <w:t>(</w:t>
      </w:r>
      <w:r w:rsidR="0000621D" w:rsidRPr="005B0344">
        <w:rPr>
          <w:b w:val="0"/>
        </w:rPr>
        <w:t>key words</w:t>
      </w:r>
      <w:r w:rsidR="0000621D" w:rsidRPr="004D72B5">
        <w:t>)</w:t>
      </w:r>
    </w:p>
    <w:p w14:paraId="73CB7F20"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4324D933" w14:textId="77777777" w:rsidR="00E371F8" w:rsidRPr="00796BA2" w:rsidRDefault="00E371F8" w:rsidP="00E371F8">
      <w:pPr>
        <w:pStyle w:val="BodyText"/>
      </w:pPr>
      <w:r w:rsidRPr="00796BA2">
        <w:t xml:space="preserve">In the era of big data, it is very crucial to </w:t>
      </w:r>
      <w:r>
        <w:t>understand</w:t>
      </w:r>
      <w:r w:rsidRPr="00796BA2">
        <w:t xml:space="preserve"> the structure of large-scale networks throughout the various domains. The ability to identify meaningful groups within massive graphs, such as social media platforms connecting billions of users or citation networks linking millions of articles, ensures valuable insights into the organizations. </w:t>
      </w:r>
      <w:r>
        <w:t>C</w:t>
      </w:r>
      <w:r w:rsidRPr="00796BA2">
        <w:t xml:space="preserve">ommunity detection is one of the </w:t>
      </w:r>
      <w:r>
        <w:t>fundamental</w:t>
      </w:r>
      <w:r w:rsidRPr="00796BA2">
        <w:t xml:space="preserve"> issues in graph analytics, which identifies densely connected groups of nodes within networks [1]. </w:t>
      </w:r>
      <w:r w:rsidRPr="002D0809">
        <w:rPr>
          <w:lang w:val="en-US"/>
        </w:rPr>
        <w:t>These communities, also known as clusters or modules, represent the functional units of biological networks, the social circles of internet platforms, and the theme clusters of citation networks.</w:t>
      </w:r>
      <w:r>
        <w:rPr>
          <w:lang w:val="en-US"/>
        </w:rPr>
        <w:t xml:space="preserve"> </w:t>
      </w:r>
      <w:r w:rsidRPr="00796BA2">
        <w:t xml:space="preserve">As the size and complexity of contemporary networks are constantly increasing, researchers and practitioners working with big data become concerned about the computational difficulties involved in identifying these communities [1]. While a lot of algorithms have been developed to handle the community detection problem, the majority of research has centered on accuracy and quality of communities rather than the scalability and computational efficiency of detection </w:t>
      </w:r>
      <w:r w:rsidRPr="00796BA2">
        <w:t>algorithms. Traditional methodologies, including the Girvan-Newman algorithm, modularity optimization techniques such as the Louvain algorithm, and spectral clustering, have exhibited robust efficacy on small to medium-sized graphs [1]. However, as the social networks contain hundreds of millions of users nowadays,</w:t>
      </w:r>
      <w:r>
        <w:t xml:space="preserve"> </w:t>
      </w:r>
      <w:r w:rsidRPr="00796BA2">
        <w:t>the</w:t>
      </w:r>
      <w:r>
        <w:t xml:space="preserve"> </w:t>
      </w:r>
      <w:r w:rsidRPr="00796BA2">
        <w:t xml:space="preserve">performance of these algorithms under increasing graph size </w:t>
      </w:r>
      <w:r>
        <w:t>becomes</w:t>
      </w:r>
      <w:r w:rsidRPr="00796BA2">
        <w:t xml:space="preserve"> critically significant. </w:t>
      </w:r>
      <w:r>
        <w:t>This challenge</w:t>
      </w:r>
      <w:r w:rsidRPr="00796BA2">
        <w:t xml:space="preserve"> plays a crucial role in the sparse graphs where the number of edges is small compared to the maximum number of connections, which is omnipresent in real-world applications. Despite the fact that large</w:t>
      </w:r>
      <w:r>
        <w:t xml:space="preserve"> </w:t>
      </w:r>
      <w:r w:rsidRPr="00796BA2">
        <w:t>sparse graphs are predominant in the Big Data world, studies examining the scalability behavior of community detection algorithms under growing graph dimensions remain remarkably constraine</w:t>
      </w:r>
      <w:r>
        <w:t xml:space="preserve">d. Taking into consideration that </w:t>
      </w:r>
      <w:r w:rsidRPr="00796BA2">
        <w:t>large-scale community detection poses a variety of computational challenges</w:t>
      </w:r>
      <w:r>
        <w:t>,</w:t>
      </w:r>
      <w:r w:rsidRPr="00796BA2">
        <w:t xml:space="preserve"> </w:t>
      </w:r>
      <w:r>
        <w:t>o</w:t>
      </w:r>
      <w:r w:rsidRPr="00796BA2">
        <w:t>ne of the main requirements when working with real-time or near-real-time analytics in Big Data platforms is about execution time that stays reasonable even if graphs expand from thousands to millions of nodes. An additional challenge, efficient scaling of memory utilization is required since a lot of setups for processing big data have limited resources. The final important section is about the stability of the quality of detected communities as the graph size increases. An algorithm that performs well on small-sized graphs but degrades on larger ones provides limited practical value. For large-scale graph analytics applications, choosing the right algorithm requires an understanding of these trade-offs between clustering quality and computational efficiency. This research addresses scalability issues through an experimental evaluation of three widely used community detection algorithms: the Louvain method, spectral clustering, and the Girvan-Newman algorithm. These three algorithms demonstrate essentially distinct algorithmic techniques, which are modularity-based optimization, eigenvalue decomposition, and edge-betweenness calculation</w:t>
      </w:r>
      <w:r>
        <w:t>,</w:t>
      </w:r>
      <w:r w:rsidRPr="00796BA2">
        <w:t xml:space="preserve"> respectively, that make them perfect subjects for a comparative study. This research answers the following questions: How does the execution time change when the number of nodes in the graph grows from 1,000 to 20,000? As the number of nodes increases, how does memory consumption increase? Does the modularity score, a measure of clustering quality, remain stable for various graph sizes? Which algorithm exhibits the best trade-offs between </w:t>
      </w:r>
      <w:r w:rsidRPr="00796BA2">
        <w:lastRenderedPageBreak/>
        <w:t>performance and scalability for Big Data applications? Finally, what is the impact of graph sparsity on these algorithms' performance, a feature shared by many real-world networks?</w:t>
      </w:r>
      <w:r>
        <w:t xml:space="preserve"> </w:t>
      </w:r>
      <w:r w:rsidRPr="00660FF8">
        <w:rPr>
          <w:lang w:val="en-US"/>
        </w:rPr>
        <w:t xml:space="preserve">To address these concerns, two experimental techniques are employed, combining a synthetic dataset with a real-world dataset. Synthetic graphs are developed using the Stochastic Block Model (SBM), allowing </w:t>
      </w:r>
      <w:r>
        <w:rPr>
          <w:lang w:val="en-US"/>
        </w:rPr>
        <w:t>precise control over</w:t>
      </w:r>
      <w:r w:rsidRPr="00660FF8">
        <w:rPr>
          <w:lang w:val="en-US"/>
        </w:rPr>
        <w:t xml:space="preserve"> both graph size and sparsity level while building networks with specified community structure</w:t>
      </w:r>
      <w:r>
        <w:rPr>
          <w:lang w:val="en-US"/>
        </w:rPr>
        <w:t xml:space="preserve"> [2]</w:t>
      </w:r>
      <w:r w:rsidRPr="00660FF8">
        <w:rPr>
          <w:lang w:val="en-US"/>
        </w:rPr>
        <w:t>. In this research, graphs ranging from 1000 to 20000 nodes are tested across three distinct levels of sparseness, such as very sparse, sparse, and moderately sparse. This variation aims to isolate the impact of graph size and sparsity on the performance of algorithms. To confirm that findings apply to real-world situations, the Facebook dataset, which consists of 4,039 nodes and 88,234 edges, is used to verify the outcome. The performance evaluation metrics are execution duration, memory usage, and modularity rating, offering a thorough understanding of both clustering quality and computing efficiency.</w:t>
      </w:r>
      <w:r>
        <w:rPr>
          <w:lang w:val="en-US"/>
        </w:rPr>
        <w:t xml:space="preserve"> </w:t>
      </w:r>
      <w:r w:rsidRPr="003C3006">
        <w:t xml:space="preserve">The contributions of this work are practical rather than algorithmic to researchers, as a new community detection algorithm is not developed, but used to guide practitioners to use an appropriate algorithm for Big Data analytics tasks, because of an important gap in the performance of algorithms across multiple graph sizes and sparsity levels in the literature [3]. </w:t>
      </w:r>
      <w:r w:rsidRPr="00F042F1">
        <w:rPr>
          <w:lang w:val="en-US"/>
        </w:rPr>
        <w:t>The need for scalability of community detection grows within the increasing social media networks. The understanding of which community detection algorithm to choose for the sensible execution time and memory consumption has an impact on the viability of Big Data applications. Furthermore, the relationship between graph sparsity and the performance of algorithms makes this research valuable for practitioners working with sparse graphs, which applies to real-world networks.</w:t>
      </w:r>
    </w:p>
    <w:p w14:paraId="60D8D7BF" w14:textId="16D6A280" w:rsidR="009303D9" w:rsidRPr="005B520E" w:rsidRDefault="009303D9" w:rsidP="00E7596C">
      <w:pPr>
        <w:pStyle w:val="BodyText"/>
      </w:pPr>
      <w:r w:rsidRPr="005B520E">
        <w:t xml:space="preserve"> </w:t>
      </w:r>
    </w:p>
    <w:p w14:paraId="79D9B497" w14:textId="77777777" w:rsidR="009303D9" w:rsidRPr="006B6B66" w:rsidRDefault="009303D9" w:rsidP="006B6B66">
      <w:pPr>
        <w:pStyle w:val="Heading1"/>
      </w:pPr>
      <w:r w:rsidRPr="006B6B66">
        <w:t>Ease of Use</w:t>
      </w:r>
    </w:p>
    <w:p w14:paraId="2FF20EE0" w14:textId="77777777" w:rsidR="009303D9" w:rsidRDefault="009303D9" w:rsidP="00ED0149">
      <w:pPr>
        <w:pStyle w:val="Heading2"/>
      </w:pPr>
      <w:r>
        <w:t xml:space="preserve">Selecting a </w:t>
      </w:r>
      <w:r w:rsidRPr="00F271DE">
        <w:t>Template</w:t>
      </w:r>
      <w:r>
        <w:t xml:space="preserve"> (Heading 2)</w:t>
      </w:r>
    </w:p>
    <w:p w14:paraId="74317154"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7D58812" w14:textId="77777777" w:rsidR="009303D9" w:rsidRPr="005B520E" w:rsidRDefault="009303D9" w:rsidP="00ED0149">
      <w:pPr>
        <w:pStyle w:val="Heading2"/>
      </w:pPr>
      <w:r w:rsidRPr="005B520E">
        <w:t>Maintaining the Integrity of the Specifications</w:t>
      </w:r>
    </w:p>
    <w:p w14:paraId="45D1EB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1400E6E" w14:textId="77777777" w:rsidR="009303D9" w:rsidRDefault="009303D9" w:rsidP="006B6B66">
      <w:pPr>
        <w:pStyle w:val="Heading1"/>
      </w:pPr>
      <w:r>
        <w:t xml:space="preserve">Prepare Your Paper </w:t>
      </w:r>
      <w:r w:rsidRPr="005B520E">
        <w:t>Before</w:t>
      </w:r>
      <w:r>
        <w:t xml:space="preserve"> Styling</w:t>
      </w:r>
    </w:p>
    <w:p w14:paraId="31766728"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660312A" w14:textId="77777777" w:rsidR="009303D9" w:rsidRPr="005B520E" w:rsidRDefault="009303D9" w:rsidP="00E7596C">
      <w:pPr>
        <w:pStyle w:val="BodyText"/>
      </w:pPr>
      <w:r w:rsidRPr="005B520E">
        <w:t xml:space="preserve">Keep your text and graphic files separate until after the text has been formatted and styled. Do not use hard tabs, and limit </w:t>
      </w:r>
      <w:r w:rsidRPr="005B520E">
        <w:t>use of hard returns to only one return at the end of a paragraph. Do not add any kind of pagination anywhere in the paper. Do not number text heads-the template will do that for you.</w:t>
      </w:r>
    </w:p>
    <w:p w14:paraId="534AE49C" w14:textId="77777777" w:rsidR="009303D9" w:rsidRDefault="009303D9" w:rsidP="00ED0149">
      <w:pPr>
        <w:pStyle w:val="Heading2"/>
      </w:pPr>
      <w:r w:rsidRPr="00ED0149">
        <w:t>Abbreviations</w:t>
      </w:r>
      <w:r>
        <w:t xml:space="preserve"> and Acronyms</w:t>
      </w:r>
    </w:p>
    <w:p w14:paraId="7B311207"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248DA32F" w14:textId="77777777" w:rsidR="009303D9" w:rsidRDefault="009303D9" w:rsidP="00ED0149">
      <w:pPr>
        <w:pStyle w:val="Heading2"/>
      </w:pPr>
      <w:r>
        <w:t>Units</w:t>
      </w:r>
    </w:p>
    <w:p w14:paraId="68BA19AA"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4677758F"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6FE5D0E1"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5E8B3116"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1CE701D2"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53D8D2F" w14:textId="77777777" w:rsidR="009303D9" w:rsidRPr="005B520E" w:rsidRDefault="009303D9" w:rsidP="00ED0149">
      <w:pPr>
        <w:pStyle w:val="Heading2"/>
      </w:pPr>
      <w:r w:rsidRPr="005B520E">
        <w:t>Equations</w:t>
      </w:r>
    </w:p>
    <w:p w14:paraId="055E3140"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9940A5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F5C8365"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B29757B"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08CEDF0" w14:textId="77777777" w:rsidR="009303D9" w:rsidRDefault="009303D9" w:rsidP="00ED0149">
      <w:pPr>
        <w:pStyle w:val="Heading2"/>
      </w:pPr>
      <w:r>
        <w:t>Some Common Mistakes</w:t>
      </w:r>
    </w:p>
    <w:p w14:paraId="2990EC93" w14:textId="77777777" w:rsidR="009303D9" w:rsidRPr="005B520E" w:rsidRDefault="009303D9" w:rsidP="00E7596C">
      <w:pPr>
        <w:pStyle w:val="bulletlist"/>
      </w:pPr>
      <w:r w:rsidRPr="005B520E">
        <w:t>The word “data” is plural, not singular.</w:t>
      </w:r>
    </w:p>
    <w:p w14:paraId="37D09BD2"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58F687A7" w14:textId="77777777" w:rsidR="009303D9" w:rsidRPr="005B520E" w:rsidRDefault="009303D9" w:rsidP="00E7596C">
      <w:pPr>
        <w:pStyle w:val="bulletlist"/>
      </w:pPr>
      <w:r w:rsidRPr="005B520E">
        <w:t xml:space="preserve">In American </w:t>
      </w:r>
      <w:r w:rsidR="002850E3">
        <w:t>English, commas, semi</w:t>
      </w:r>
      <w:r w:rsidRPr="005B520E">
        <w:t xml:space="preserve">colons, periods, question and exclamation marks are located within </w:t>
      </w:r>
      <w:r w:rsidRPr="005B520E">
        <w:lastRenderedPageBreak/>
        <w:t>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4BEECA3"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B88C9F6" w14:textId="77777777" w:rsidR="009303D9" w:rsidRPr="005B520E" w:rsidRDefault="009303D9" w:rsidP="00E7596C">
      <w:pPr>
        <w:pStyle w:val="bulletlist"/>
      </w:pPr>
      <w:r w:rsidRPr="005B520E">
        <w:t>Do not use the word “essentially” to mean “approximately” or “effectively”.</w:t>
      </w:r>
    </w:p>
    <w:p w14:paraId="39B8A44E"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7B84182D"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0805E" w14:textId="77777777" w:rsidR="009303D9" w:rsidRPr="005B520E" w:rsidRDefault="009303D9" w:rsidP="00E7596C">
      <w:pPr>
        <w:pStyle w:val="bulletlist"/>
      </w:pPr>
      <w:r w:rsidRPr="005B520E">
        <w:t>Do not confuse “imply” and “infer”.</w:t>
      </w:r>
    </w:p>
    <w:p w14:paraId="4969601A" w14:textId="77777777" w:rsidR="009303D9" w:rsidRPr="005B520E" w:rsidRDefault="009303D9" w:rsidP="00E7596C">
      <w:pPr>
        <w:pStyle w:val="bulletlist"/>
      </w:pPr>
      <w:r w:rsidRPr="005B520E">
        <w:t>The prefix “non” is not a word; it should be joined to the word it modifies, usually without a hyphen.</w:t>
      </w:r>
    </w:p>
    <w:p w14:paraId="6A98A9FF" w14:textId="77777777" w:rsidR="009303D9" w:rsidRPr="005B520E" w:rsidRDefault="009303D9" w:rsidP="00E7596C">
      <w:pPr>
        <w:pStyle w:val="bulletlist"/>
      </w:pPr>
      <w:r w:rsidRPr="005B520E">
        <w:t>There is no period after the “et” in the Latin abbreviation “et al.”.</w:t>
      </w:r>
    </w:p>
    <w:p w14:paraId="7DBE92B2" w14:textId="77777777" w:rsidR="009303D9" w:rsidRPr="005B520E" w:rsidRDefault="009303D9" w:rsidP="00E7596C">
      <w:pPr>
        <w:pStyle w:val="bulletlist"/>
      </w:pPr>
      <w:r w:rsidRPr="005B520E">
        <w:t>The abbreviation “i.e.” means “that is”, and the abbreviation “e.g.” means “for example”.</w:t>
      </w:r>
    </w:p>
    <w:p w14:paraId="130EA88F" w14:textId="77777777" w:rsidR="009303D9" w:rsidRPr="005B520E" w:rsidRDefault="009303D9" w:rsidP="00E7596C">
      <w:pPr>
        <w:pStyle w:val="BodyText"/>
      </w:pPr>
      <w:r w:rsidRPr="005B520E">
        <w:t>An excellent style manual for science writers is [7].</w:t>
      </w:r>
    </w:p>
    <w:p w14:paraId="34652D06" w14:textId="77777777" w:rsidR="009303D9" w:rsidRDefault="009303D9" w:rsidP="006B6B66">
      <w:pPr>
        <w:pStyle w:val="Heading1"/>
      </w:pPr>
      <w:r>
        <w:t xml:space="preserve">Using the </w:t>
      </w:r>
      <w:r w:rsidRPr="005B520E">
        <w:t>Template</w:t>
      </w:r>
    </w:p>
    <w:p w14:paraId="287D0610"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F5E6735" w14:textId="77777777" w:rsidR="009303D9" w:rsidRDefault="009303D9" w:rsidP="00ED0149">
      <w:pPr>
        <w:pStyle w:val="Heading2"/>
      </w:pPr>
      <w:r w:rsidRPr="005B520E">
        <w:t>Authors</w:t>
      </w:r>
      <w:r>
        <w:t xml:space="preserve"> and Affiliations</w:t>
      </w:r>
    </w:p>
    <w:p w14:paraId="43AA3C76"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74DE5D6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11B1E66D"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0E1AB74"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C7B6266"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47AB434"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325FFDDE" w14:textId="77777777" w:rsidR="006F6D3D" w:rsidRDefault="006F6D3D" w:rsidP="006F6D3D">
      <w:pPr>
        <w:jc w:val="start"/>
        <w:rPr>
          <w:i/>
          <w:iCs/>
          <w:noProof/>
        </w:rPr>
      </w:pPr>
    </w:p>
    <w:p w14:paraId="279AF25C" w14:textId="77777777" w:rsidR="009303D9" w:rsidRDefault="009303D9" w:rsidP="00ED0149">
      <w:pPr>
        <w:pStyle w:val="Heading2"/>
      </w:pPr>
      <w:r w:rsidRPr="005B520E">
        <w:t>Identify</w:t>
      </w:r>
      <w:r>
        <w:t xml:space="preserve"> the Headings</w:t>
      </w:r>
    </w:p>
    <w:p w14:paraId="7E507C8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70C711D9"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004AFF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EDE58A3" w14:textId="77777777" w:rsidR="009303D9" w:rsidRDefault="009303D9" w:rsidP="00ED0149">
      <w:pPr>
        <w:pStyle w:val="Heading2"/>
      </w:pPr>
      <w:r>
        <w:t>Figures and Tables</w:t>
      </w:r>
    </w:p>
    <w:p w14:paraId="62FB45DF"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CB46223"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20569A1D" w14:textId="77777777">
        <w:trPr>
          <w:cantSplit/>
          <w:trHeight w:val="240"/>
          <w:tblHeader/>
          <w:jc w:val="center"/>
        </w:trPr>
        <w:tc>
          <w:tcPr>
            <w:tcW w:w="36pt" w:type="dxa"/>
            <w:vMerge w:val="restart"/>
            <w:vAlign w:val="center"/>
          </w:tcPr>
          <w:p w14:paraId="0F25C8A9" w14:textId="77777777" w:rsidR="009303D9" w:rsidRDefault="009303D9">
            <w:pPr>
              <w:pStyle w:val="tablecolhead"/>
            </w:pPr>
            <w:r>
              <w:t>Table Head</w:t>
            </w:r>
          </w:p>
        </w:tc>
        <w:tc>
          <w:tcPr>
            <w:tcW w:w="207pt" w:type="dxa"/>
            <w:gridSpan w:val="3"/>
            <w:vAlign w:val="center"/>
          </w:tcPr>
          <w:p w14:paraId="378FBD1C" w14:textId="77777777" w:rsidR="009303D9" w:rsidRDefault="009303D9">
            <w:pPr>
              <w:pStyle w:val="tablecolhead"/>
            </w:pPr>
            <w:r>
              <w:t>Table Column Head</w:t>
            </w:r>
          </w:p>
        </w:tc>
      </w:tr>
      <w:tr w:rsidR="009303D9" w14:paraId="3E31E95F" w14:textId="77777777">
        <w:trPr>
          <w:cantSplit/>
          <w:trHeight w:val="240"/>
          <w:tblHeader/>
          <w:jc w:val="center"/>
        </w:trPr>
        <w:tc>
          <w:tcPr>
            <w:tcW w:w="36pt" w:type="dxa"/>
            <w:vMerge/>
          </w:tcPr>
          <w:p w14:paraId="35631431" w14:textId="77777777" w:rsidR="009303D9" w:rsidRDefault="009303D9">
            <w:pPr>
              <w:rPr>
                <w:sz w:val="16"/>
                <w:szCs w:val="16"/>
              </w:rPr>
            </w:pPr>
          </w:p>
        </w:tc>
        <w:tc>
          <w:tcPr>
            <w:tcW w:w="117pt" w:type="dxa"/>
            <w:vAlign w:val="center"/>
          </w:tcPr>
          <w:p w14:paraId="350A647B" w14:textId="77777777" w:rsidR="009303D9" w:rsidRDefault="009303D9">
            <w:pPr>
              <w:pStyle w:val="tablecolsubhead"/>
            </w:pPr>
            <w:r>
              <w:t>Table column subhead</w:t>
            </w:r>
          </w:p>
        </w:tc>
        <w:tc>
          <w:tcPr>
            <w:tcW w:w="45pt" w:type="dxa"/>
            <w:vAlign w:val="center"/>
          </w:tcPr>
          <w:p w14:paraId="6ABDA3DD" w14:textId="77777777" w:rsidR="009303D9" w:rsidRDefault="009303D9">
            <w:pPr>
              <w:pStyle w:val="tablecolsubhead"/>
            </w:pPr>
            <w:r>
              <w:t>Subhead</w:t>
            </w:r>
          </w:p>
        </w:tc>
        <w:tc>
          <w:tcPr>
            <w:tcW w:w="45pt" w:type="dxa"/>
            <w:vAlign w:val="center"/>
          </w:tcPr>
          <w:p w14:paraId="084445AE" w14:textId="77777777" w:rsidR="009303D9" w:rsidRDefault="009303D9">
            <w:pPr>
              <w:pStyle w:val="tablecolsubhead"/>
            </w:pPr>
            <w:r>
              <w:t>Subhead</w:t>
            </w:r>
          </w:p>
        </w:tc>
      </w:tr>
      <w:tr w:rsidR="009303D9" w14:paraId="13CB90DD" w14:textId="77777777">
        <w:trPr>
          <w:trHeight w:val="320"/>
          <w:jc w:val="center"/>
        </w:trPr>
        <w:tc>
          <w:tcPr>
            <w:tcW w:w="36pt" w:type="dxa"/>
            <w:vAlign w:val="center"/>
          </w:tcPr>
          <w:p w14:paraId="1BD2AE17" w14:textId="77777777" w:rsidR="009303D9" w:rsidRDefault="009303D9">
            <w:pPr>
              <w:pStyle w:val="tablecopy"/>
              <w:rPr>
                <w:sz w:val="8"/>
                <w:szCs w:val="8"/>
              </w:rPr>
            </w:pPr>
            <w:r>
              <w:t>copy</w:t>
            </w:r>
          </w:p>
        </w:tc>
        <w:tc>
          <w:tcPr>
            <w:tcW w:w="117pt" w:type="dxa"/>
            <w:vAlign w:val="center"/>
          </w:tcPr>
          <w:p w14:paraId="7C6D7441" w14:textId="77777777" w:rsidR="009303D9" w:rsidRDefault="009303D9">
            <w:pPr>
              <w:pStyle w:val="tablecopy"/>
            </w:pPr>
            <w:r>
              <w:t>More table copy</w:t>
            </w:r>
            <w:r>
              <w:rPr>
                <w:vertAlign w:val="superscript"/>
              </w:rPr>
              <w:t>a</w:t>
            </w:r>
          </w:p>
        </w:tc>
        <w:tc>
          <w:tcPr>
            <w:tcW w:w="45pt" w:type="dxa"/>
            <w:vAlign w:val="center"/>
          </w:tcPr>
          <w:p w14:paraId="0E11E1E5" w14:textId="77777777" w:rsidR="009303D9" w:rsidRDefault="009303D9">
            <w:pPr>
              <w:rPr>
                <w:sz w:val="16"/>
                <w:szCs w:val="16"/>
              </w:rPr>
            </w:pPr>
          </w:p>
        </w:tc>
        <w:tc>
          <w:tcPr>
            <w:tcW w:w="45pt" w:type="dxa"/>
            <w:vAlign w:val="center"/>
          </w:tcPr>
          <w:p w14:paraId="5F13C077" w14:textId="77777777" w:rsidR="009303D9" w:rsidRDefault="009303D9">
            <w:pPr>
              <w:rPr>
                <w:sz w:val="16"/>
                <w:szCs w:val="16"/>
              </w:rPr>
            </w:pPr>
          </w:p>
        </w:tc>
      </w:tr>
    </w:tbl>
    <w:p w14:paraId="03813CE4"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100998B3"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B33C266"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BB5A5CF"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2A6DF7A"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46D806BD" w14:textId="77777777" w:rsidR="009303D9" w:rsidRDefault="009303D9" w:rsidP="00A059B3">
      <w:pPr>
        <w:pStyle w:val="Heading5"/>
      </w:pPr>
      <w:r w:rsidRPr="005B520E">
        <w:lastRenderedPageBreak/>
        <w:t>References</w:t>
      </w:r>
    </w:p>
    <w:p w14:paraId="68875C12"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BE40F7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31CB13"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C48945B"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07705BF3" w14:textId="77777777" w:rsidR="009303D9" w:rsidRDefault="009303D9"/>
    <w:p w14:paraId="758584A6" w14:textId="77777777" w:rsidR="00E0452A" w:rsidRDefault="00E0452A"/>
    <w:p w14:paraId="3F8DB1C2" w14:textId="77777777" w:rsidR="00E0452A" w:rsidRDefault="00E0452A"/>
    <w:p w14:paraId="3AC0A7ED" w14:textId="77777777" w:rsidR="00E0452A" w:rsidRPr="005B520E" w:rsidRDefault="00E0452A"/>
    <w:p w14:paraId="4AC6E752" w14:textId="77777777" w:rsidR="00E0452A" w:rsidRDefault="00E0452A" w:rsidP="00E0452A">
      <w:pPr>
        <w:pStyle w:val="references"/>
        <w:ind w:start="17.70pt" w:hanging="17.70pt"/>
      </w:pPr>
      <w:bookmarkStart w:id="0" w:name="_Hlk226232462"/>
      <w:r>
        <w:t xml:space="preserve">S. Fortunato, “Community detection in graphs,” Physics Reports, </w:t>
      </w:r>
      <w:r>
        <w:br/>
        <w:t xml:space="preserve">vol. 486, no. 3–5, pp. 75–174, Feb. 2010. </w:t>
      </w:r>
      <w:r>
        <w:rPr>
          <w:i/>
          <w:iCs/>
        </w:rPr>
        <w:t>(references)</w:t>
      </w:r>
    </w:p>
    <w:p w14:paraId="4BA5191E" w14:textId="77777777" w:rsidR="00E0452A" w:rsidRDefault="00E0452A" w:rsidP="00E0452A">
      <w:pPr>
        <w:pStyle w:val="references"/>
        <w:ind w:start="17.70pt" w:hanging="17.70pt"/>
      </w:pPr>
      <w:r>
        <w:t>Y. Xie, B. Wang, and X. Zhang,</w:t>
      </w:r>
      <w:r>
        <w:br/>
        <w:t>“Robust stochastic block model for community detection,”</w:t>
      </w:r>
      <w:r>
        <w:br/>
        <w:t>Neurocomputing, vol. 275, pp. 1173–1182, 2018.</w:t>
      </w:r>
    </w:p>
    <w:p w14:paraId="17C1760F" w14:textId="6CDCD95F" w:rsidR="00E0452A" w:rsidRDefault="00E0452A" w:rsidP="00E0452A">
      <w:pPr>
        <w:pStyle w:val="references"/>
        <w:ind w:start="17.70pt" w:hanging="17.70pt"/>
      </w:pPr>
      <w:r>
        <w:t>S.</w:t>
      </w:r>
      <w:r>
        <w:t xml:space="preserve"> </w:t>
      </w:r>
      <w:r>
        <w:t>Fortunato and D. Hric,</w:t>
      </w:r>
      <w:r>
        <w:br/>
        <w:t>“Community detection in networks: A user guide,”</w:t>
      </w:r>
      <w:r>
        <w:br/>
        <w:t>Physics Reports, vol. 659, pp. 1–44, 2016.</w:t>
      </w:r>
    </w:p>
    <w:bookmarkEnd w:id="0"/>
    <w:p w14:paraId="6AF3C345" w14:textId="75AC9EC1" w:rsidR="00E0452A" w:rsidRDefault="00E0452A" w:rsidP="0004781E">
      <w:pPr>
        <w:pStyle w:val="references"/>
        <w:ind w:start="17.70pt" w:hanging="17.70pt"/>
      </w:pPr>
    </w:p>
    <w:p w14:paraId="54EE34CC" w14:textId="77777777" w:rsidR="00E0452A" w:rsidRDefault="00E0452A" w:rsidP="0004781E">
      <w:pPr>
        <w:pStyle w:val="references"/>
        <w:ind w:start="17.70pt" w:hanging="17.70pt"/>
      </w:pPr>
    </w:p>
    <w:p w14:paraId="45BF325E" w14:textId="77777777" w:rsidR="00E0452A" w:rsidRDefault="00E0452A" w:rsidP="0004781E">
      <w:pPr>
        <w:pStyle w:val="references"/>
        <w:ind w:start="17.70pt" w:hanging="17.70pt"/>
      </w:pPr>
    </w:p>
    <w:p w14:paraId="2EC90F46" w14:textId="77777777" w:rsidR="009303D9" w:rsidRDefault="009303D9" w:rsidP="00836367">
      <w:pPr>
        <w:pStyle w:val="references"/>
        <w:numPr>
          <w:ilvl w:val="0"/>
          <w:numId w:val="0"/>
        </w:numPr>
        <w:ind w:start="18pt" w:hanging="18pt"/>
      </w:pPr>
    </w:p>
    <w:p w14:paraId="725BAFD1"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274D864" w14:textId="344BD718" w:rsidR="009303D9" w:rsidRDefault="003B2B40" w:rsidP="005B520E">
      <w:r>
        <w:rPr>
          <w:noProof/>
        </w:rPr>
        <w:drawing>
          <wp:anchor distT="0" distB="0" distL="114300" distR="114300" simplePos="0" relativeHeight="251657728" behindDoc="1" locked="0" layoutInCell="1" allowOverlap="1" wp14:anchorId="179E4AB9" wp14:editId="2EA55F3E">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EBF6B1C"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207D028A"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79D42FE" w14:textId="77777777" w:rsidR="00F2383B" w:rsidRDefault="00F2383B" w:rsidP="001A3B3D">
      <w:r>
        <w:separator/>
      </w:r>
    </w:p>
  </w:endnote>
  <w:endnote w:type="continuationSeparator" w:id="0">
    <w:p w14:paraId="55525C5B" w14:textId="77777777" w:rsidR="00F2383B" w:rsidRDefault="00F2383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C122D30" w14:textId="56FE2FE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533B551" w14:textId="77777777" w:rsidR="00F2383B" w:rsidRDefault="00F2383B" w:rsidP="001A3B3D">
      <w:r>
        <w:separator/>
      </w:r>
    </w:p>
  </w:footnote>
  <w:footnote w:type="continuationSeparator" w:id="0">
    <w:p w14:paraId="6B42AB34" w14:textId="77777777" w:rsidR="00F2383B" w:rsidRDefault="00F238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894585114">
    <w:abstractNumId w:val="14"/>
  </w:num>
  <w:num w:numId="2" w16cid:durableId="503785358">
    <w:abstractNumId w:val="19"/>
  </w:num>
  <w:num w:numId="3" w16cid:durableId="1437018370">
    <w:abstractNumId w:val="13"/>
  </w:num>
  <w:num w:numId="4" w16cid:durableId="144902413">
    <w:abstractNumId w:val="16"/>
  </w:num>
  <w:num w:numId="5" w16cid:durableId="1643539069">
    <w:abstractNumId w:val="16"/>
  </w:num>
  <w:num w:numId="6" w16cid:durableId="1707946389">
    <w:abstractNumId w:val="16"/>
  </w:num>
  <w:num w:numId="7" w16cid:durableId="859124251">
    <w:abstractNumId w:val="16"/>
  </w:num>
  <w:num w:numId="8" w16cid:durableId="122969804">
    <w:abstractNumId w:val="18"/>
  </w:num>
  <w:num w:numId="9" w16cid:durableId="676076727">
    <w:abstractNumId w:val="20"/>
  </w:num>
  <w:num w:numId="10" w16cid:durableId="1547176903">
    <w:abstractNumId w:val="15"/>
  </w:num>
  <w:num w:numId="11" w16cid:durableId="150221514">
    <w:abstractNumId w:val="12"/>
  </w:num>
  <w:num w:numId="12" w16cid:durableId="2087073726">
    <w:abstractNumId w:val="11"/>
  </w:num>
  <w:num w:numId="13" w16cid:durableId="1726683705">
    <w:abstractNumId w:val="0"/>
  </w:num>
  <w:num w:numId="14" w16cid:durableId="843399036">
    <w:abstractNumId w:val="10"/>
  </w:num>
  <w:num w:numId="15" w16cid:durableId="2059088942">
    <w:abstractNumId w:val="8"/>
  </w:num>
  <w:num w:numId="16" w16cid:durableId="554662187">
    <w:abstractNumId w:val="7"/>
  </w:num>
  <w:num w:numId="17" w16cid:durableId="262422501">
    <w:abstractNumId w:val="6"/>
  </w:num>
  <w:num w:numId="18" w16cid:durableId="131144074">
    <w:abstractNumId w:val="5"/>
  </w:num>
  <w:num w:numId="19" w16cid:durableId="1798179315">
    <w:abstractNumId w:val="9"/>
  </w:num>
  <w:num w:numId="20" w16cid:durableId="1076435593">
    <w:abstractNumId w:val="4"/>
  </w:num>
  <w:num w:numId="21" w16cid:durableId="823156380">
    <w:abstractNumId w:val="3"/>
  </w:num>
  <w:num w:numId="22" w16cid:durableId="1326743357">
    <w:abstractNumId w:val="2"/>
  </w:num>
  <w:num w:numId="23" w16cid:durableId="420371558">
    <w:abstractNumId w:val="1"/>
  </w:num>
  <w:num w:numId="24" w16cid:durableId="7498181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21D"/>
    <w:rsid w:val="00023689"/>
    <w:rsid w:val="0004781E"/>
    <w:rsid w:val="0008758A"/>
    <w:rsid w:val="000C1E68"/>
    <w:rsid w:val="001A2EFD"/>
    <w:rsid w:val="001A3B3D"/>
    <w:rsid w:val="001B67DC"/>
    <w:rsid w:val="002254A9"/>
    <w:rsid w:val="00233D97"/>
    <w:rsid w:val="002347A2"/>
    <w:rsid w:val="002850E3"/>
    <w:rsid w:val="00295A15"/>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D097A"/>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452A"/>
    <w:rsid w:val="00E07383"/>
    <w:rsid w:val="00E165BC"/>
    <w:rsid w:val="00E371F8"/>
    <w:rsid w:val="00E61E12"/>
    <w:rsid w:val="00E7596C"/>
    <w:rsid w:val="00E878F2"/>
    <w:rsid w:val="00EA02FC"/>
    <w:rsid w:val="00ED0149"/>
    <w:rsid w:val="00ED02E7"/>
    <w:rsid w:val="00EF7DE3"/>
    <w:rsid w:val="00F03103"/>
    <w:rsid w:val="00F2383B"/>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4096AE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4</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Ilaha Behbudova</cp:lastModifiedBy>
  <cp:revision>13</cp:revision>
  <dcterms:created xsi:type="dcterms:W3CDTF">2019-01-08T18:42:00Z</dcterms:created>
  <dcterms:modified xsi:type="dcterms:W3CDTF">2026-04-04T18:03:00Z</dcterms:modified>
</cp:coreProperties>
</file>