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F3864"/>
          <w:sz w:val="52"/>
          <w:szCs w:val="52"/>
        </w:rPr>
        <w:t xml:space="preserve">Commitment Mathematics</w:t>
      </w:r>
    </w:p>
    <w:p>
      <w:pPr>
        <w:spacing w:before="0" w:after="80"/>
      </w:pPr>
      <w:r>
        <w:rPr>
          <w:rFonts w:ascii="Arial" w:cs="Arial" w:eastAsia="Arial" w:hAnsi="Arial"/>
          <w:color w:val="2E74B5"/>
          <w:sz w:val="36"/>
          <w:szCs w:val="36"/>
        </w:rPr>
        <w:t xml:space="preserve">Addendum 1: Formal Resolutions</w:t>
      </w:r>
    </w:p>
    <w:p>
      <w:pPr>
        <w:spacing w:before="0" w:after="80"/>
      </w:pPr>
      <w:r>
        <w:rPr>
          <w:rFonts w:ascii="Arial" w:cs="Arial" w:eastAsia="Arial" w:hAnsi="Arial"/>
          <w:b/>
          <w:bCs/>
          <w:sz w:val="20"/>
          <w:szCs w:val="20"/>
        </w:rPr>
        <w:t xml:space="preserve">Author: </w:t>
      </w:r>
      <w:r>
        <w:rPr>
          <w:rFonts w:ascii="Arial" w:cs="Arial" w:eastAsia="Arial" w:hAnsi="Arial"/>
          <w:sz w:val="20"/>
          <w:szCs w:val="20"/>
        </w:rPr>
        <w:t xml:space="preserve">Otto Beseka Isong  |  </w:t>
      </w:r>
      <w:r>
        <w:rPr>
          <w:rFonts w:ascii="Arial" w:cs="Arial" w:eastAsia="Arial" w:hAnsi="Arial"/>
          <w:b/>
          <w:bCs/>
          <w:sz w:val="20"/>
          <w:szCs w:val="20"/>
        </w:rPr>
        <w:t xml:space="preserve">Company: </w:t>
      </w:r>
      <w:r>
        <w:rPr>
          <w:rFonts w:ascii="Arial" w:cs="Arial" w:eastAsia="Arial" w:hAnsi="Arial"/>
          <w:sz w:val="20"/>
          <w:szCs w:val="20"/>
        </w:rPr>
        <w:t xml:space="preserve">Genie Capital Ltd  |  </w:t>
      </w:r>
      <w:r>
        <w:rPr>
          <w:rFonts w:ascii="Arial" w:cs="Arial" w:eastAsia="Arial" w:hAnsi="Arial"/>
          <w:b/>
          <w:bCs/>
          <w:sz w:val="20"/>
          <w:szCs w:val="20"/>
        </w:rPr>
        <w:t xml:space="preserve">Applies to: </w:t>
      </w:r>
      <w:r>
        <w:rPr>
          <w:rFonts w:ascii="Arial" w:cs="Arial" w:eastAsia="Arial" w:hAnsi="Arial"/>
          <w:sz w:val="20"/>
          <w:szCs w:val="20"/>
        </w:rPr>
        <w:t xml:space="preserve">CM v4.0, 1D6D, UBU</w:t>
      </w:r>
    </w:p>
    <w:p>
      <w:pPr>
        <w:spacing w:before="0" w:after="0"/>
      </w:pPr>
      <w:r>
        <w:rPr>
          <w:rFonts w:ascii="Arial" w:cs="Arial" w:eastAsia="Arial" w:hAnsi="Arial"/>
          <w:i/>
          <w:iCs/>
          <w:color w:val="555555"/>
          <w:sz w:val="20"/>
          <w:szCs w:val="20"/>
        </w:rPr>
        <w:t xml:space="preserve">License: CC-BY-NC-SA</w:t>
      </w:r>
    </w:p>
    <w:p>
      <w:pPr>
        <w:pBdr>
          <w:bottom w:val="single" w:color="1F3864" w:sz="6" w:space="1"/>
        </w:pBdr>
        <w:spacing w:before="200" w:after="300"/>
      </w:pPr>
      <w:r>
        <w:t xml:space="preserve"/>
      </w:r>
    </w:p>
    <w:p>
      <w:pPr>
        <w:spacing w:before="80" w:after="100"/>
      </w:pPr>
      <w:r>
        <w:rPr>
          <w:rFonts w:ascii="Arial" w:cs="Arial" w:eastAsia="Arial" w:hAnsi="Arial"/>
          <w:sz w:val="22"/>
          <w:szCs w:val="22"/>
        </w:rPr>
        <w:t xml:space="preserve">This addendum makes nine formal resolutions to the issues identified in the internal coherence review. Each resolution is numbered to correspond with the issue it closes. Resolutions amend or extend the referenced sections of the base documents without requiring reformulation of the core commitment structure, the six base operations, or the dual control architecture. All prior theorems not named here remain unchanged.</w:t>
      </w:r>
    </w:p>
    <w:p>
      <w:pPr>
        <w:spacing w:before="60" w:after="60"/>
      </w:pPr>
      <w:r>
        <w:t xml:space="preserve"/>
      </w:r>
    </w:p>
    <w:p>
      <w:pPr>
        <w:pStyle w:val="Heading1"/>
        <w:spacing w:before="400" w:after="200"/>
      </w:pPr>
      <w:r>
        <w:rPr>
          <w:rFonts w:ascii="Arial" w:cs="Arial" w:eastAsia="Arial" w:hAnsi="Arial"/>
          <w:b/>
          <w:bCs/>
          <w:color w:val="1F3864"/>
          <w:sz w:val="32"/>
          <w:szCs w:val="32"/>
        </w:rPr>
        <w:t xml:space="preserve">1. Critical Resolutions</w:t>
      </w:r>
    </w:p>
    <w:p>
      <w:pPr>
        <w:pStyle w:val="Heading2"/>
        <w:spacing w:before="300" w:after="140"/>
      </w:pPr>
      <w:r>
        <w:rPr>
          <w:rFonts w:ascii="Arial" w:cs="Arial" w:eastAsia="Arial" w:hAnsi="Arial"/>
          <w:b/>
          <w:bCs/>
          <w:color w:val="2E74B5"/>
          <w:sz w:val="26"/>
          <w:szCs w:val="26"/>
        </w:rPr>
        <w:t xml:space="preserve">Resolution C-01: Canonical Realized Value Formula</w:t>
      </w:r>
    </w:p>
    <w:p>
      <w:pPr>
        <w:spacing w:before="80" w:after="80"/>
      </w:pPr>
      <w:r>
        <w:rPr>
          <w:rFonts w:ascii="Arial" w:cs="Arial" w:eastAsia="Arial" w:hAnsi="Arial"/>
          <w:b/>
          <w:bCs/>
          <w:sz w:val="22"/>
          <w:szCs w:val="22"/>
        </w:rPr>
        <w:t xml:space="preserve">Closes:</w:t>
      </w:r>
      <w:r>
        <w:rPr>
          <w:rFonts w:ascii="Arial" w:cs="Arial" w:eastAsia="Arial" w:hAnsi="Arial"/>
          <w:sz w:val="22"/>
          <w:szCs w:val="22"/>
        </w:rPr>
        <w:t xml:space="preserve">  C-01 — Two incompatible formulas for realized value (CM §2.4 vs 1D6D §2)</w:t>
      </w:r>
    </w:p>
    <w:p>
      <w:pPr>
        <w:spacing w:before="60" w:after="60"/>
      </w:pPr>
      <w:r>
        <w:t xml:space="preserve"/>
      </w:r>
    </w:p>
    <w:p>
      <w:pPr>
        <w:spacing w:before="80" w:after="100"/>
      </w:pPr>
      <w:r>
        <w:rPr>
          <w:rFonts w:ascii="Arial" w:cs="Arial" w:eastAsia="Arial" w:hAnsi="Arial"/>
          <w:sz w:val="22"/>
          <w:szCs w:val="22"/>
        </w:rPr>
        <w:t xml:space="preserve">Two representations of the sixth dimension appeared across the documents: max(0, ℐ) in CM v4.0 and e^(iθ) in 1D6D §2. This resolution establishes their relationship and designates one as canonical.</w:t>
      </w:r>
    </w:p>
    <w:p>
      <w:pPr>
        <w:spacing w:before="60" w:after="60"/>
      </w:pPr>
      <w:r>
        <w:t xml:space="preserve"/>
      </w:r>
    </w:p>
    <w:p>
      <w:pPr>
        <w:spacing w:before="240" w:after="100"/>
      </w:pPr>
      <w:r>
        <w:rPr>
          <w:rFonts w:ascii="Arial" w:cs="Arial" w:eastAsia="Arial" w:hAnsi="Arial"/>
          <w:b/>
          <w:bCs/>
          <w:color w:val="1F3864"/>
          <w:sz w:val="23"/>
          <w:szCs w:val="23"/>
        </w:rPr>
        <w:t xml:space="preserve">Definition A1.1 (Continuous Phase Representation)</w:t>
      </w:r>
    </w:p>
    <w:p>
      <w:pPr>
        <w:spacing w:before="80" w:after="100"/>
      </w:pPr>
      <w:r>
        <w:rPr>
          <w:rFonts w:ascii="Arial" w:cs="Arial" w:eastAsia="Arial" w:hAnsi="Arial"/>
          <w:sz w:val="22"/>
          <w:szCs w:val="22"/>
        </w:rPr>
        <w:t xml:space="preserve">For any pair of frames (Fᵢ, Fⱼ) with phase difference Δθᵢⱼ = θᵢ - θⱼ, the continuous phase factor is:</w:t>
      </w:r>
    </w:p>
    <w:p>
      <w:pPr>
        <w:spacing w:before="60" w:after="60"/>
        <w:ind w:left="720"/>
      </w:pPr>
      <w:r>
        <w:rPr>
          <w:rFonts w:ascii="Courier New" w:cs="Courier New" w:eastAsia="Courier New" w:hAnsi="Courier New"/>
          <w:color w:val="1F3864"/>
          <w:sz w:val="20"/>
          <w:szCs w:val="20"/>
        </w:rPr>
        <w:t xml:space="preserve">φ(Fᵢ, Fⱼ) = e^(iΔθᵢⱼ)  ∈  ℂ,  |φ| = 1</w:t>
      </w:r>
    </w:p>
    <w:p>
      <w:pPr>
        <w:spacing w:before="80" w:after="100"/>
      </w:pPr>
      <w:r>
        <w:rPr>
          <w:rFonts w:ascii="Arial" w:cs="Arial" w:eastAsia="Arial" w:hAnsi="Arial"/>
          <w:sz w:val="22"/>
          <w:szCs w:val="22"/>
        </w:rPr>
        <w:t xml:space="preserve">The continuous phase φ represents the pre-commitment relational state between frames: a superposition of possible alignment outcomes. φ is defined for any pair of frames before any TEST evaluation is performed.</w:t>
      </w:r>
    </w:p>
    <w:p>
      <w:pPr>
        <w:spacing w:before="60" w:after="60"/>
      </w:pPr>
      <w:r>
        <w:t xml:space="preserve"/>
      </w:r>
    </w:p>
    <w:p>
      <w:pPr>
        <w:spacing w:before="240" w:after="100"/>
      </w:pPr>
      <w:r>
        <w:rPr>
          <w:rFonts w:ascii="Arial" w:cs="Arial" w:eastAsia="Arial" w:hAnsi="Arial"/>
          <w:b/>
          <w:bCs/>
          <w:color w:val="1F3864"/>
          <w:sz w:val="23"/>
          <w:szCs w:val="23"/>
        </w:rPr>
        <w:t xml:space="preserve">Definition A1.2 (Discretization)</w:t>
      </w:r>
    </w:p>
    <w:p>
      <w:pPr>
        <w:spacing w:before="80" w:after="100"/>
      </w:pPr>
      <w:r>
        <w:rPr>
          <w:rFonts w:ascii="Arial" w:cs="Arial" w:eastAsia="Arial" w:hAnsi="Arial"/>
          <w:sz w:val="22"/>
          <w:szCs w:val="22"/>
        </w:rPr>
        <w:t xml:space="preserve">The intersection function ℐ is the discretization of the continuous phase:</w:t>
      </w:r>
    </w:p>
    <w:p>
      <w:pPr>
        <w:spacing w:before="60" w:after="60"/>
        <w:ind w:left="720"/>
      </w:pPr>
      <w:r>
        <w:rPr>
          <w:rFonts w:ascii="Courier New" w:cs="Courier New" w:eastAsia="Courier New" w:hAnsi="Courier New"/>
          <w:color w:val="1F3864"/>
          <w:sz w:val="20"/>
          <w:szCs w:val="20"/>
        </w:rPr>
        <w:t xml:space="preserve">ℐ(Fᵢ, Fⱼ) = +1  if  Re(φ) = cos(Δθ) ≥ τ_high = 0.8</w:t>
      </w:r>
    </w:p>
    <w:p>
      <w:pPr>
        <w:spacing w:before="60" w:after="60"/>
        <w:ind w:left="720"/>
      </w:pPr>
      <w:r>
        <w:rPr>
          <w:rFonts w:ascii="Courier New" w:cs="Courier New" w:eastAsia="Courier New" w:hAnsi="Courier New"/>
          <w:color w:val="1F3864"/>
          <w:sz w:val="20"/>
          <w:szCs w:val="20"/>
        </w:rPr>
        <w:t xml:space="preserve">ℐ(Fᵢ, Fⱼ) =  0  if  τ_low ≤ cos(Δθ) &lt; τ_high</w:t>
      </w:r>
    </w:p>
    <w:p>
      <w:pPr>
        <w:spacing w:before="60" w:after="60"/>
        <w:ind w:left="720"/>
      </w:pPr>
      <w:r>
        <w:rPr>
          <w:rFonts w:ascii="Courier New" w:cs="Courier New" w:eastAsia="Courier New" w:hAnsi="Courier New"/>
          <w:color w:val="1F3864"/>
          <w:sz w:val="20"/>
          <w:szCs w:val="20"/>
        </w:rPr>
        <w:t xml:space="preserve">ℐ(Fᵢ, Fⱼ) = -1  if  cos(Δθ) &lt; τ_low = 0.3</w:t>
      </w:r>
    </w:p>
    <w:p>
      <w:pPr>
        <w:spacing w:before="80" w:after="100"/>
      </w:pPr>
      <w:r>
        <w:rPr>
          <w:rFonts w:ascii="Arial" w:cs="Arial" w:eastAsia="Arial" w:hAnsi="Arial"/>
          <w:sz w:val="22"/>
          <w:szCs w:val="22"/>
        </w:rPr>
        <w:t xml:space="preserve">TEST performs this discretization. Before TEST evaluation, frames exist in their continuous phase relationship φ. TEST returns the discrete verdict ℐ.</w:t>
      </w:r>
    </w:p>
    <w:p>
      <w:pPr>
        <w:spacing w:before="60" w:after="60"/>
      </w:pPr>
      <w:r>
        <w:t xml:space="preserve"/>
      </w:r>
    </w:p>
    <w:p>
      <w:pPr>
        <w:spacing w:before="240" w:after="100"/>
      </w:pPr>
      <w:r>
        <w:rPr>
          <w:rFonts w:ascii="Arial" w:cs="Arial" w:eastAsia="Arial" w:hAnsi="Arial"/>
          <w:b/>
          <w:bCs/>
          <w:color w:val="1F3864"/>
          <w:sz w:val="23"/>
          <w:szCs w:val="23"/>
        </w:rPr>
        <w:t xml:space="preserve">Theorem A1.1 (Canonical Realized Value)</w:t>
      </w:r>
    </w:p>
    <w:p>
      <w:pPr>
        <w:spacing w:before="80" w:after="100"/>
      </w:pPr>
      <w:r>
        <w:rPr>
          <w:rFonts w:ascii="Arial" w:cs="Arial" w:eastAsia="Arial" w:hAnsi="Arial"/>
          <w:sz w:val="22"/>
          <w:szCs w:val="22"/>
        </w:rPr>
        <w:t xml:space="preserve">The canonical realized value formula for commitment Cⱼ from the Holding Entity perspective is:</w:t>
      </w:r>
    </w:p>
    <w:p>
      <w:pPr>
        <w:spacing w:before="60" w:after="60"/>
        <w:ind w:left="720"/>
      </w:pPr>
      <w:r>
        <w:rPr>
          <w:rFonts w:ascii="Courier New" w:cs="Courier New" w:eastAsia="Courier New" w:hAnsi="Courier New"/>
          <w:color w:val="1F3864"/>
          <w:sz w:val="20"/>
          <w:szCs w:val="20"/>
        </w:rPr>
        <w:t xml:space="preserve">CVⱼ = CV₀ · V · A · (1+T) · max(0, ℐ) · e^(-kd)</w:t>
      </w:r>
    </w:p>
    <w:p>
      <w:pPr>
        <w:spacing w:before="80" w:after="100"/>
      </w:pPr>
      <w:r>
        <w:rPr>
          <w:rFonts w:ascii="Arial" w:cs="Arial" w:eastAsia="Arial" w:hAnsi="Arial"/>
          <w:sz w:val="22"/>
          <w:szCs w:val="22"/>
        </w:rPr>
        <w:t xml:space="preserve">where ℐ ∈ {+1, 0, -1} is the discrete intersection verdict returned by TEST. This is the formula governing all realized value computations throughout the framework.</w:t>
      </w:r>
    </w:p>
    <w:p>
      <w:pPr>
        <w:spacing w:before="60" w:after="60"/>
      </w:pPr>
      <w:r>
        <w:t xml:space="preserve"/>
      </w:r>
    </w:p>
    <w:p>
      <w:pPr>
        <w:spacing w:before="80" w:after="100"/>
      </w:pPr>
      <w:r>
        <w:rPr>
          <w:rFonts w:ascii="Arial" w:cs="Arial" w:eastAsia="Arial" w:hAnsi="Arial"/>
          <w:sz w:val="22"/>
          <w:szCs w:val="22"/>
        </w:rPr>
        <w:t xml:space="preserve">The formula e^(iθ) in 1D6D §2 describes the pre-commitment continuous phase state, not the realized value. It is retained as a representation of the ℐ = 0 (INCONCLUSIVE) state in physics applications — specifically, quantum superposition as a state in which TEST has not yet evaluated and the continuous phase φ is what is described by the wave function. Realized value requires TEST evaluation, which returns the discrete verdict ℐ. The two representations are therefore: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Representation</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max(0, ℐ)</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Post-TEST, all modes</w:t>
            </w:r>
          </w:p>
        </w:tc>
        <w:tc>
          <w:tcPr>
            <w:tcW w:type="dxa" w:w="3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CANONICAL (realized 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e^(iΔθ)</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Pre-TEST phase state</w:t>
            </w:r>
          </w:p>
        </w:tc>
        <w:tc>
          <w:tcPr>
            <w:tcW w:type="dxa" w:w="3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AUXILIARY (physics representation)</w:t>
            </w:r>
          </w:p>
        </w:tc>
      </w:tr>
    </w:tbl>
    <w:p>
      <w:pPr>
        <w:spacing w:before="60" w:after="60"/>
      </w:pPr>
      <w:r>
        <w:t xml:space="preserve"/>
      </w:r>
    </w:p>
    <w:p>
      <w:pPr>
        <w:spacing w:before="80" w:after="100"/>
      </w:pPr>
      <w:r>
        <w:rPr>
          <w:rFonts w:ascii="Arial" w:cs="Arial" w:eastAsia="Arial" w:hAnsi="Arial"/>
          <w:sz w:val="22"/>
          <w:szCs w:val="22"/>
        </w:rPr>
        <w:t xml:space="preserve">Correction to 1D6D §2: The formula CV_realized = CV₀ · V · A · (1+T) · e^(-kd) · e^(iθ) is replaced by:</w:t>
      </w:r>
    </w:p>
    <w:p>
      <w:pPr>
        <w:spacing w:before="60" w:after="60"/>
        <w:ind w:left="720"/>
      </w:pPr>
      <w:r>
        <w:rPr>
          <w:rFonts w:ascii="Courier New" w:cs="Courier New" w:eastAsia="Courier New" w:hAnsi="Courier New"/>
          <w:color w:val="1F3864"/>
          <w:sz w:val="20"/>
          <w:szCs w:val="20"/>
        </w:rPr>
        <w:t xml:space="preserve">CV_realized = CV₀ · V · A · (1+T) · max(0, ℐ) · e^(-kd)</w:t>
      </w:r>
    </w:p>
    <w:p>
      <w:pPr>
        <w:spacing w:before="80" w:after="100"/>
      </w:pPr>
      <w:r>
        <w:rPr>
          <w:rFonts w:ascii="Arial" w:cs="Arial" w:eastAsia="Arial" w:hAnsi="Arial"/>
          <w:sz w:val="22"/>
          <w:szCs w:val="22"/>
        </w:rPr>
        <w:t xml:space="preserve">The continuous phase e^(iθ) appears in 1D6D §3.1 (Dimension 6) and §4.1 (quantum measurement) as a description of the pre-commitment ℐ = 0 state, which is the valid and intended use.</w:t>
      </w:r>
    </w:p>
    <w:p>
      <w:pPr>
        <w:spacing w:before="60" w:after="60"/>
      </w:pPr>
      <w:r>
        <w:t xml:space="preserve"/>
      </w:r>
    </w:p>
    <w:p>
      <w:pPr>
        <w:pBdr>
          <w:bottom w:val="single" w:color="2E74B5" w:sz="4" w:space="1"/>
        </w:pBdr>
        <w:spacing w:before="200" w:after="200"/>
      </w:pPr>
      <w:r>
        <w:rPr>
          <w:rFonts w:ascii="Arial" w:cs="Arial" w:eastAsia="Arial" w:hAnsi="Arial"/>
          <w:sz w:val="22"/>
          <w:szCs w:val="22"/>
        </w:rPr>
        <w:t xml:space="preserve"/>
      </w:r>
    </w:p>
    <w:p>
      <w:pPr>
        <w:pStyle w:val="Heading2"/>
        <w:spacing w:before="300" w:after="140"/>
      </w:pPr>
      <w:r>
        <w:rPr>
          <w:rFonts w:ascii="Arial" w:cs="Arial" w:eastAsia="Arial" w:hAnsi="Arial"/>
          <w:b/>
          <w:bCs/>
          <w:color w:val="2E74B5"/>
          <w:sz w:val="26"/>
          <w:szCs w:val="26"/>
        </w:rPr>
        <w:t xml:space="preserve">Resolution C-02: Unified Definition of Memory μ</w:t>
      </w:r>
    </w:p>
    <w:p>
      <w:pPr>
        <w:spacing w:before="80" w:after="80"/>
      </w:pPr>
      <w:r>
        <w:rPr>
          <w:rFonts w:ascii="Arial" w:cs="Arial" w:eastAsia="Arial" w:hAnsi="Arial"/>
          <w:b/>
          <w:bCs/>
          <w:sz w:val="22"/>
          <w:szCs w:val="22"/>
        </w:rPr>
        <w:t xml:space="preserve">Closes:</w:t>
      </w:r>
      <w:r>
        <w:rPr>
          <w:rFonts w:ascii="Arial" w:cs="Arial" w:eastAsia="Arial" w:hAnsi="Arial"/>
          <w:sz w:val="22"/>
          <w:szCs w:val="22"/>
        </w:rPr>
        <w:t xml:space="preserve">  C-02 — Two incompatible definitions of μ (CM §4.3.1 vs 1D6D §3.2)</w:t>
      </w:r>
    </w:p>
    <w:p>
      <w:pPr>
        <w:spacing w:before="60" w:after="60"/>
      </w:pPr>
      <w:r>
        <w:t xml:space="preserve"/>
      </w:r>
    </w:p>
    <w:p>
      <w:pPr>
        <w:spacing w:before="80" w:after="100"/>
      </w:pPr>
      <w:r>
        <w:rPr>
          <w:rFonts w:ascii="Arial" w:cs="Arial" w:eastAsia="Arial" w:hAnsi="Arial"/>
          <w:sz w:val="22"/>
          <w:szCs w:val="22"/>
        </w:rPr>
        <w:t xml:space="preserve">Two definitions of μ appeared in the documents. CM v4.0 defined μ as a network-level pairwise coherence ratio. 1D6D §3.2 defined μ as a product of five per-commitment capacities. This resolution introduces a two-level memory structure that contains both as valid quantities at different scales.</w:t>
      </w:r>
    </w:p>
    <w:p>
      <w:pPr>
        <w:spacing w:before="60" w:after="60"/>
      </w:pPr>
      <w:r>
        <w:t xml:space="preserve"/>
      </w:r>
    </w:p>
    <w:p>
      <w:pPr>
        <w:spacing w:before="240" w:after="100"/>
      </w:pPr>
      <w:r>
        <w:rPr>
          <w:rFonts w:ascii="Arial" w:cs="Arial" w:eastAsia="Arial" w:hAnsi="Arial"/>
          <w:b/>
          <w:bCs/>
          <w:color w:val="1F3864"/>
          <w:sz w:val="23"/>
          <w:szCs w:val="23"/>
        </w:rPr>
        <w:t xml:space="preserve">Definition A1.3 (Local Memory Capacity)</w:t>
      </w:r>
    </w:p>
    <w:p>
      <w:pPr>
        <w:spacing w:before="80" w:after="100"/>
      </w:pPr>
      <w:r>
        <w:rPr>
          <w:rFonts w:ascii="Arial" w:cs="Arial" w:eastAsia="Arial" w:hAnsi="Arial"/>
          <w:sz w:val="22"/>
          <w:szCs w:val="22"/>
        </w:rPr>
        <w:t xml:space="preserve">For a single commitment Cⱼ, the local memory capacity is:</w:t>
      </w:r>
    </w:p>
    <w:p>
      <w:pPr>
        <w:spacing w:before="60" w:after="60"/>
        <w:ind w:left="720"/>
      </w:pPr>
      <w:r>
        <w:rPr>
          <w:rFonts w:ascii="Courier New" w:cs="Courier New" w:eastAsia="Courier New" w:hAnsi="Courier New"/>
          <w:color w:val="1F3864"/>
          <w:sz w:val="20"/>
          <w:szCs w:val="20"/>
        </w:rPr>
        <w:t xml:space="preserve">μ_local(Cⱼ) = Rₒ × Tᵣ × S × Rₑ × I  ∈  [0, 1]</w:t>
      </w:r>
    </w:p>
    <w:p>
      <w:pPr>
        <w:spacing w:before="80" w:after="100"/>
      </w:pPr>
      <w:r>
        <w:rPr>
          <w:rFonts w:ascii="Arial" w:cs="Arial" w:eastAsia="Arial" w:hAnsi="Arial"/>
          <w:sz w:val="22"/>
          <w:szCs w:val="22"/>
        </w:rPr>
        <w:t xml:space="preserve">where Rₒ = categorization capacity, Tᵣ = tracking capacity, S = storage capacity, Rₑ = reporting capacity, and I = interpretation capacity. Each factor ∈ [0, 1]. μ_local = 0 when any single capacity is zero.</w:t>
      </w:r>
    </w:p>
    <w:p>
      <w:pPr>
        <w:spacing w:before="80" w:after="100"/>
      </w:pPr>
      <w:r>
        <w:rPr>
          <w:rFonts w:ascii="Arial" w:cs="Arial" w:eastAsia="Arial" w:hAnsi="Arial"/>
          <w:sz w:val="22"/>
          <w:szCs w:val="22"/>
        </w:rPr>
        <w:t xml:space="preserve">μ_local is a property of an individual commitment. It measures whether commitment Cⱼ can participate in memory-bearing relational operations.</w:t>
      </w:r>
    </w:p>
    <w:p>
      <w:pPr>
        <w:spacing w:before="60" w:after="60"/>
      </w:pPr>
      <w:r>
        <w:t xml:space="preserve"/>
      </w:r>
    </w:p>
    <w:p>
      <w:pPr>
        <w:spacing w:before="240" w:after="100"/>
      </w:pPr>
      <w:r>
        <w:rPr>
          <w:rFonts w:ascii="Arial" w:cs="Arial" w:eastAsia="Arial" w:hAnsi="Arial"/>
          <w:b/>
          <w:bCs/>
          <w:color w:val="1F3864"/>
          <w:sz w:val="23"/>
          <w:szCs w:val="23"/>
        </w:rPr>
        <w:t xml:space="preserve">Definition A1.4 (Network Memory Fidelity)</w:t>
      </w:r>
    </w:p>
    <w:p>
      <w:pPr>
        <w:spacing w:before="80" w:after="100"/>
      </w:pPr>
      <w:r>
        <w:rPr>
          <w:rFonts w:ascii="Arial" w:cs="Arial" w:eastAsia="Arial" w:hAnsi="Arial"/>
          <w:sz w:val="22"/>
          <w:szCs w:val="22"/>
        </w:rPr>
        <w:t xml:space="preserve">For a commitment network G = (𝒞, E), the system-level memory fidelity is:</w:t>
      </w:r>
    </w:p>
    <w:p>
      <w:pPr>
        <w:spacing w:before="60" w:after="60"/>
        <w:ind w:left="720"/>
      </w:pPr>
      <w:r>
        <w:rPr>
          <w:rFonts w:ascii="Courier New" w:cs="Courier New" w:eastAsia="Courier New" w:hAnsi="Courier New"/>
          <w:color w:val="1F3864"/>
          <w:sz w:val="20"/>
          <w:szCs w:val="20"/>
        </w:rPr>
        <w:t xml:space="preserve">μ_sys = |{(Cᵢ, Cⱼ) : phase-coherent(Cᵢ, Cⱼ)}| / |𝒞|²</w:t>
      </w:r>
    </w:p>
    <w:p>
      <w:pPr>
        <w:spacing w:before="80" w:after="100"/>
      </w:pPr>
      <w:r>
        <w:rPr>
          <w:rFonts w:ascii="Arial" w:cs="Arial" w:eastAsia="Arial" w:hAnsi="Arial"/>
          <w:sz w:val="22"/>
          <w:szCs w:val="22"/>
        </w:rPr>
        <w:t xml:space="preserve">where the pair (Cᵢ, Cⱼ) is phase-coherent if and only if:</w:t>
      </w:r>
    </w:p>
    <w:p>
      <w:pPr>
        <w:spacing w:before="60" w:after="60"/>
        <w:ind w:left="720"/>
      </w:pPr>
      <w:r>
        <w:rPr>
          <w:rFonts w:ascii="Courier New" w:cs="Courier New" w:eastAsia="Courier New" w:hAnsi="Courier New"/>
          <w:color w:val="1F3864"/>
          <w:sz w:val="20"/>
          <w:szCs w:val="20"/>
        </w:rPr>
        <w:t xml:space="preserve">(i)   μ_local(Cᵢ) &gt; 0  and  μ_local(Cⱼ) &gt; 0,  and</w:t>
      </w:r>
    </w:p>
    <w:p>
      <w:pPr>
        <w:spacing w:before="60" w:after="60"/>
        <w:ind w:left="720"/>
      </w:pPr>
      <w:r>
        <w:rPr>
          <w:rFonts w:ascii="Courier New" w:cs="Courier New" w:eastAsia="Courier New" w:hAnsi="Courier New"/>
          <w:color w:val="1F3864"/>
          <w:sz w:val="20"/>
          <w:szCs w:val="20"/>
        </w:rPr>
        <w:t xml:space="preserve">(ii)  ℐ(Fᵢ, Fⱼ) = +1</w:t>
      </w:r>
    </w:p>
    <w:p>
      <w:pPr>
        <w:spacing w:before="80" w:after="100"/>
      </w:pPr>
      <w:r>
        <w:rPr>
          <w:rFonts w:ascii="Arial" w:cs="Arial" w:eastAsia="Arial" w:hAnsi="Arial"/>
          <w:sz w:val="22"/>
          <w:szCs w:val="22"/>
        </w:rPr>
        <w:t xml:space="preserve">Condition (i) ensures both commitments possess memory capacity. Condition (ii) ensures their frames are aligned. A commitment with μ_local = 0 cannot form a phase-coherent pair with any other commitment, and therefore contributes zero to μ_sys regardless of phase alignment.</w:t>
      </w:r>
    </w:p>
    <w:p>
      <w:pPr>
        <w:spacing w:before="60" w:after="60"/>
      </w:pPr>
      <w:r>
        <w:t xml:space="preserve"/>
      </w:r>
    </w:p>
    <w:p>
      <w:pPr>
        <w:spacing w:before="240" w:after="100"/>
      </w:pPr>
      <w:r>
        <w:rPr>
          <w:rFonts w:ascii="Arial" w:cs="Arial" w:eastAsia="Arial" w:hAnsi="Arial"/>
          <w:b/>
          <w:bCs/>
          <w:color w:val="1F3864"/>
          <w:sz w:val="23"/>
          <w:szCs w:val="23"/>
        </w:rPr>
        <w:t xml:space="preserve">Proposition A1.1 (Relationship Between μ_local and μ_sys)</w:t>
      </w:r>
    </w:p>
    <w:p>
      <w:pPr>
        <w:spacing w:before="80" w:after="100"/>
      </w:pPr>
      <w:r>
        <w:rPr>
          <w:rFonts w:ascii="Arial" w:cs="Arial" w:eastAsia="Arial" w:hAnsi="Arial"/>
          <w:sz w:val="22"/>
          <w:szCs w:val="22"/>
        </w:rPr>
        <w:t xml:space="preserve">If μ_local(Cⱼ) = 0 for any commitment Cⱼ, then all pairs involving Cⱼ are excluded from the numerator of μ_sys. In the limiting case where a single commitment Cₓ has μ_local(Cₓ) = 0 and |𝒞| = 1, μ_sys = 0.</w:t>
      </w:r>
    </w:p>
    <w:p>
      <w:pPr>
        <w:spacing w:before="60" w:after="60"/>
      </w:pPr>
      <w:r>
        <w:t xml:space="preserve"/>
      </w:r>
    </w:p>
    <w:p>
      <w:pPr>
        <w:spacing w:before="80" w:after="100"/>
      </w:pPr>
      <w:r>
        <w:rPr>
          <w:rFonts w:ascii="Arial" w:cs="Arial" w:eastAsia="Arial" w:hAnsi="Arial"/>
          <w:sz w:val="22"/>
          <w:szCs w:val="22"/>
        </w:rPr>
        <w:t xml:space="preserve">This unification resolves the apparent contradiction: μ_local is the per-commitment capacity that determines eligibility for phase coherence; μ_sys is the network-level fidelity computed from phase-coherent pairs. Both are valid quantities, distinguished by subscript. The MONITOR existence condition references μ_sys:</w:t>
      </w:r>
    </w:p>
    <w:p>
      <w:pPr>
        <w:spacing w:before="60" w:after="60"/>
        <w:ind w:left="720"/>
      </w:pPr>
      <w:r>
        <w:rPr>
          <w:rFonts w:ascii="Courier New" w:cs="Courier New" w:eastAsia="Courier New" w:hAnsi="Courier New"/>
          <w:color w:val="1F3864"/>
          <w:sz w:val="20"/>
          <w:szCs w:val="20"/>
        </w:rPr>
        <w:t xml:space="preserve">MONITOR exists iff  μ_sys ≥ μ_critical = 1/(2e) ≈ 0.184</w:t>
      </w:r>
    </w:p>
    <w:p>
      <w:pPr>
        <w:spacing w:before="80" w:after="100"/>
      </w:pPr>
      <w:r>
        <w:rPr>
          <w:rFonts w:ascii="Arial" w:cs="Arial" w:eastAsia="Arial" w:hAnsi="Arial"/>
          <w:sz w:val="22"/>
          <w:szCs w:val="22"/>
        </w:rPr>
        <w:t xml:space="preserve">The dark sector argument in 1D6D §4.2 references μ_local: dark matter has μ_local = 0 because one or more of its five capacities is zero. Since μ_local = 0 implies the commitment cannot form phase-coherent pairs, any network containing only such commitments will have μ_sys = 0. This is consistent with the undetectability argument.</w:t>
      </w:r>
    </w:p>
    <w:p>
      <w:pPr>
        <w:spacing w:before="60" w:after="60"/>
      </w:pPr>
      <w:r>
        <w:t xml:space="preserve"/>
      </w:r>
    </w:p>
    <w:p>
      <w:pPr>
        <w:spacing w:before="80" w:after="100"/>
      </w:pPr>
      <w:r>
        <w:rPr>
          <w:rFonts w:ascii="Arial" w:cs="Arial" w:eastAsia="Arial" w:hAnsi="Arial"/>
          <w:sz w:val="22"/>
          <w:szCs w:val="22"/>
        </w:rPr>
        <w:t xml:space="preserve">Correction to CM §4.3.1 and §8.1: replace unqualified μ with μ_sys throughout network-level formulas. Replace unqualified μ in μ = Rₒ × Tᵣ × S × Rₑ × I with μ_local. All existing theorems hold with this substitution.</w:t>
      </w:r>
    </w:p>
    <w:p>
      <w:pPr>
        <w:spacing w:before="60" w:after="60"/>
      </w:pPr>
      <w:r>
        <w:t xml:space="preserve"/>
      </w:r>
    </w:p>
    <w:p>
      <w:pPr>
        <w:pBdr>
          <w:bottom w:val="single" w:color="2E74B5" w:sz="4" w:space="1"/>
        </w:pBdr>
        <w:spacing w:before="200" w:after="200"/>
      </w:pPr>
      <w:r>
        <w:rPr>
          <w:rFonts w:ascii="Arial" w:cs="Arial" w:eastAsia="Arial" w:hAnsi="Arial"/>
          <w:sz w:val="22"/>
          <w:szCs w:val="22"/>
        </w:rPr>
        <w:t xml:space="preserve"/>
      </w:r>
    </w:p>
    <w:p>
      <w:pPr>
        <w:pStyle w:val="Heading1"/>
        <w:spacing w:before="400" w:after="200"/>
      </w:pPr>
      <w:r>
        <w:rPr>
          <w:rFonts w:ascii="Arial" w:cs="Arial" w:eastAsia="Arial" w:hAnsi="Arial"/>
          <w:b/>
          <w:bCs/>
          <w:color w:val="1F3864"/>
          <w:sz w:val="32"/>
          <w:szCs w:val="32"/>
        </w:rPr>
        <w:t xml:space="preserve">2. Major Resolutions</w:t>
      </w:r>
    </w:p>
    <w:p>
      <w:pPr>
        <w:pStyle w:val="Heading2"/>
        <w:spacing w:before="300" w:after="140"/>
      </w:pPr>
      <w:r>
        <w:rPr>
          <w:rFonts w:ascii="Arial" w:cs="Arial" w:eastAsia="Arial" w:hAnsi="Arial"/>
          <w:b/>
          <w:bCs/>
          <w:color w:val="2E74B5"/>
          <w:sz w:val="26"/>
          <w:szCs w:val="26"/>
        </w:rPr>
        <w:t xml:space="preserve">Resolution M-01: Per-Commitment Fabric Coordinates</w:t>
      </w:r>
    </w:p>
    <w:p>
      <w:pPr>
        <w:spacing w:before="80" w:after="80"/>
      </w:pPr>
      <w:r>
        <w:rPr>
          <w:rFonts w:ascii="Arial" w:cs="Arial" w:eastAsia="Arial" w:hAnsi="Arial"/>
          <w:b/>
          <w:bCs/>
          <w:sz w:val="22"/>
          <w:szCs w:val="22"/>
        </w:rPr>
        <w:t xml:space="preserve">Closes:</w:t>
      </w:r>
      <w:r>
        <w:rPr>
          <w:rFonts w:ascii="Arial" w:cs="Arial" w:eastAsia="Arial" w:hAnsi="Arial"/>
          <w:sz w:val="22"/>
          <w:szCs w:val="22"/>
        </w:rPr>
        <w:t xml:space="preserve">  M-01 — 5D → 3D mapping unspecified (1D6D §3.1–3.2)</w:t>
      </w:r>
    </w:p>
    <w:p>
      <w:pPr>
        <w:spacing w:before="60" w:after="60"/>
      </w:pPr>
      <w:r>
        <w:t xml:space="preserve"/>
      </w:r>
    </w:p>
    <w:p>
      <w:pPr>
        <w:spacing w:before="80" w:after="100"/>
      </w:pPr>
      <w:r>
        <w:rPr>
          <w:rFonts w:ascii="Arial" w:cs="Arial" w:eastAsia="Arial" w:hAnsi="Arial"/>
          <w:sz w:val="22"/>
          <w:szCs w:val="22"/>
        </w:rPr>
        <w:t xml:space="preserve">The 1D to 6D document asserted that dimensions 2–6 {V, A, T, d, θ} generate the Fabric space (D, μ_sys, λ) without providing the mapping. This resolution provides the per-commitment local Fabric coordinates, and shows how they aggregate to the network-level Fabric coordinates defined in CM §8.1.</w:t>
      </w:r>
    </w:p>
    <w:p>
      <w:pPr>
        <w:spacing w:before="60" w:after="60"/>
      </w:pPr>
      <w:r>
        <w:t xml:space="preserve"/>
      </w:r>
    </w:p>
    <w:p>
      <w:pPr>
        <w:spacing w:before="240" w:after="100"/>
      </w:pPr>
      <w:r>
        <w:rPr>
          <w:rFonts w:ascii="Arial" w:cs="Arial" w:eastAsia="Arial" w:hAnsi="Arial"/>
          <w:b/>
          <w:bCs/>
          <w:color w:val="1F3864"/>
          <w:sz w:val="23"/>
          <w:szCs w:val="23"/>
        </w:rPr>
        <w:t xml:space="preserve">Definition A1.5 (Per-Commitment Local Fabric Coordinates)</w:t>
      </w:r>
    </w:p>
    <w:p>
      <w:pPr>
        <w:spacing w:before="80" w:after="100"/>
      </w:pPr>
      <w:r>
        <w:rPr>
          <w:rFonts w:ascii="Arial" w:cs="Arial" w:eastAsia="Arial" w:hAnsi="Arial"/>
          <w:sz w:val="22"/>
          <w:szCs w:val="22"/>
        </w:rPr>
        <w:t xml:space="preserve">For a commitment Cⱼ with anchor parameters (Vⱼ, Aⱼ, Tⱼ) and local memory capacity μ_local(Cⱼ), the local Fabric coordinates are:</w:t>
      </w:r>
    </w:p>
    <w:p>
      <w:pPr>
        <w:spacing w:before="60" w:after="60"/>
        <w:ind w:left="720"/>
      </w:pPr>
      <w:r>
        <w:rPr>
          <w:rFonts w:ascii="Courier New" w:cs="Courier New" w:eastAsia="Courier New" w:hAnsi="Courier New"/>
          <w:color w:val="1F3864"/>
          <w:sz w:val="20"/>
          <w:szCs w:val="20"/>
        </w:rPr>
        <w:t xml:space="preserve">D_local(Cⱼ) = Aⱼ</w:t>
      </w:r>
    </w:p>
    <w:p>
      <w:pPr>
        <w:spacing w:before="60" w:after="60"/>
        <w:ind w:left="720"/>
      </w:pPr>
      <w:r>
        <w:rPr>
          <w:rFonts w:ascii="Courier New" w:cs="Courier New" w:eastAsia="Courier New" w:hAnsi="Courier New"/>
          <w:color w:val="1F3864"/>
          <w:sz w:val="20"/>
          <w:szCs w:val="20"/>
        </w:rPr>
        <w:t xml:space="preserve">μ_local(Cⱼ) = Rₒ × Tᵣ × S × Rₑ × I  (per Definition A1.3)</w:t>
      </w:r>
    </w:p>
    <w:p>
      <w:pPr>
        <w:spacing w:before="60" w:after="60"/>
        <w:ind w:left="720"/>
      </w:pPr>
      <w:r>
        <w:rPr>
          <w:rFonts w:ascii="Courier New" w:cs="Courier New" w:eastAsia="Courier New" w:hAnsi="Courier New"/>
          <w:color w:val="1F3864"/>
          <w:sz w:val="20"/>
          <w:szCs w:val="20"/>
        </w:rPr>
        <w:t xml:space="preserve">λ_local(Cⱼ) = Tⱼ</w:t>
      </w:r>
    </w:p>
    <w:p>
      <w:pPr>
        <w:spacing w:before="80" w:after="100"/>
      </w:pPr>
      <w:r>
        <w:rPr>
          <w:rFonts w:ascii="Arial" w:cs="Arial" w:eastAsia="Arial" w:hAnsi="Arial"/>
          <w:sz w:val="22"/>
          <w:szCs w:val="22"/>
        </w:rPr>
        <w:t xml:space="preserve">Justification: Assurance (A) measures the stability of value realization, which is structurally analogous to Defense (D), the structural coherence coordinate. Transferability (T) measures propagation capacity, which is structurally analogous to Pulse (λ), the dynamical excitation coordinate. Memory capacity μ_local is defined directly in terms of the five cognitive capacities.</w:t>
      </w:r>
    </w:p>
    <w:p>
      <w:pPr>
        <w:spacing w:before="60" w:after="60"/>
      </w:pPr>
      <w:r>
        <w:t xml:space="preserve"/>
      </w:r>
    </w:p>
    <w:p>
      <w:pPr>
        <w:spacing w:before="240" w:after="100"/>
      </w:pPr>
      <w:r>
        <w:rPr>
          <w:rFonts w:ascii="Arial" w:cs="Arial" w:eastAsia="Arial" w:hAnsi="Arial"/>
          <w:b/>
          <w:bCs/>
          <w:color w:val="1F3864"/>
          <w:sz w:val="23"/>
          <w:szCs w:val="23"/>
        </w:rPr>
        <w:t xml:space="preserve">Proposition A1.2 (Aggregation to Network Fabric)</w:t>
      </w:r>
    </w:p>
    <w:p>
      <w:pPr>
        <w:spacing w:before="80" w:after="100"/>
      </w:pPr>
      <w:r>
        <w:rPr>
          <w:rFonts w:ascii="Arial" w:cs="Arial" w:eastAsia="Arial" w:hAnsi="Arial"/>
          <w:sz w:val="22"/>
          <w:szCs w:val="22"/>
        </w:rPr>
        <w:t xml:space="preserve">The network-level Fabric coordinates defined in CM §8.1 are the aggregations of per-commitment local coordinates:</w:t>
      </w:r>
    </w:p>
    <w:p>
      <w:pPr>
        <w:spacing w:before="60" w:after="60"/>
        <w:ind w:left="720"/>
      </w:pPr>
      <w:r>
        <w:rPr>
          <w:rFonts w:ascii="Courier New" w:cs="Courier New" w:eastAsia="Courier New" w:hAnsi="Courier New"/>
          <w:color w:val="1F3864"/>
          <w:sz w:val="20"/>
          <w:szCs w:val="20"/>
        </w:rPr>
        <w:t xml:space="preserve">D_sys = (1/|𝒞|) Σⱼ ||∇_G CV₀(j)||  [structural coherence from network gradients]</w:t>
      </w:r>
    </w:p>
    <w:p>
      <w:pPr>
        <w:spacing w:before="60" w:after="60"/>
        <w:ind w:left="720"/>
      </w:pPr>
      <w:r>
        <w:rPr>
          <w:rFonts w:ascii="Courier New" w:cs="Courier New" w:eastAsia="Courier New" w:hAnsi="Courier New"/>
          <w:color w:val="1F3864"/>
          <w:sz w:val="20"/>
          <w:szCs w:val="20"/>
        </w:rPr>
        <w:t xml:space="preserve">μ_sys = |{(Cᵢ, Cⱼ) : phase-coherent}| / |𝒞|²  [per Definition A1.4]</w:t>
      </w:r>
    </w:p>
    <w:p>
      <w:pPr>
        <w:spacing w:before="60" w:after="60"/>
        <w:ind w:left="720"/>
      </w:pPr>
      <w:r>
        <w:rPr>
          <w:rFonts w:ascii="Courier New" w:cs="Courier New" w:eastAsia="Courier New" w:hAnsi="Courier New"/>
          <w:color w:val="1F3864"/>
          <w:sz w:val="20"/>
          <w:szCs w:val="20"/>
        </w:rPr>
        <w:t xml:space="preserve">λ_sys = (1/|𝒞|) Σⱼ Tⱼ · Aⱼ  [aggregate transfer-assurance product]</w:t>
      </w:r>
    </w:p>
    <w:p>
      <w:pPr>
        <w:spacing w:before="80" w:after="100"/>
      </w:pPr>
      <w:r>
        <w:rPr>
          <w:rFonts w:ascii="Arial" w:cs="Arial" w:eastAsia="Arial" w:hAnsi="Arial"/>
          <w:sz w:val="22"/>
          <w:szCs w:val="22"/>
        </w:rPr>
        <w:t xml:space="preserve">The λ_sys formula makes explicit what CM §4.3.1 described as 'implicit from T, A interactions.' The product Tⱼ · Aⱼ captures the joint excitation: transferability amplified by assurance.</w:t>
      </w:r>
    </w:p>
    <w:p>
      <w:pPr>
        <w:spacing w:before="60" w:after="60"/>
      </w:pPr>
      <w:r>
        <w:t xml:space="preserve"/>
      </w:r>
    </w:p>
    <w:p>
      <w:pPr>
        <w:spacing w:before="80" w:after="100"/>
      </w:pPr>
      <w:r>
        <w:rPr>
          <w:rFonts w:ascii="Arial" w:cs="Arial" w:eastAsia="Arial" w:hAnsi="Arial"/>
          <w:sz w:val="22"/>
          <w:szCs w:val="22"/>
        </w:rPr>
        <w:t xml:space="preserve">For a single commitment in isolation (|𝒞| = 1), the local Fabric coordinates (A_j, μ_local(Cⱼ), T_j) are the Fabric coordinates of that commitment. The physics coordinate assignments in 1D6D §4.2 (e.g., black holes at D=1, λ=1, μ_local=0) are now formally derivable: they are assertions about A, T, and the five memory capacities of the relevant commitment-type.</w:t>
      </w:r>
    </w:p>
    <w:p>
      <w:pPr>
        <w:spacing w:before="60" w:after="60"/>
      </w:pPr>
      <w:r>
        <w:t xml:space="preserve"/>
      </w:r>
    </w:p>
    <w:p>
      <w:pPr>
        <w:pBdr>
          <w:bottom w:val="single" w:color="2E74B5" w:sz="4" w:space="1"/>
        </w:pBdr>
        <w:spacing w:before="200" w:after="200"/>
      </w:pPr>
      <w:r>
        <w:rPr>
          <w:rFonts w:ascii="Arial" w:cs="Arial" w:eastAsia="Arial" w:hAnsi="Arial"/>
          <w:sz w:val="22"/>
          <w:szCs w:val="22"/>
        </w:rPr>
        <w:t xml:space="preserve"/>
      </w:r>
    </w:p>
    <w:p>
      <w:pPr>
        <w:pStyle w:val="Heading2"/>
        <w:spacing w:before="300" w:after="140"/>
      </w:pPr>
      <w:r>
        <w:rPr>
          <w:rFonts w:ascii="Arial" w:cs="Arial" w:eastAsia="Arial" w:hAnsi="Arial"/>
          <w:b/>
          <w:bCs/>
          <w:color w:val="2E74B5"/>
          <w:sz w:val="26"/>
          <w:szCs w:val="26"/>
        </w:rPr>
        <w:t xml:space="preserve">Resolution M-02: Gender Functions in Terms of Anchor Parameters</w:t>
      </w:r>
    </w:p>
    <w:p>
      <w:pPr>
        <w:spacing w:before="80" w:after="80"/>
      </w:pPr>
      <w:r>
        <w:rPr>
          <w:rFonts w:ascii="Arial" w:cs="Arial" w:eastAsia="Arial" w:hAnsi="Arial"/>
          <w:b/>
          <w:bCs/>
          <w:sz w:val="22"/>
          <w:szCs w:val="22"/>
        </w:rPr>
        <w:t xml:space="preserve">Closes:</w:t>
      </w:r>
      <w:r>
        <w:rPr>
          <w:rFonts w:ascii="Arial" w:cs="Arial" w:eastAsia="Arial" w:hAnsi="Arial"/>
          <w:sz w:val="22"/>
          <w:szCs w:val="22"/>
        </w:rPr>
        <w:t xml:space="preserve">  M-02 — Gender functions require per-commitment Fabric coordinates (CM §6.1 vs §4.3.1)</w:t>
      </w:r>
    </w:p>
    <w:p>
      <w:pPr>
        <w:spacing w:before="60" w:after="60"/>
      </w:pPr>
      <w:r>
        <w:t xml:space="preserve"/>
      </w:r>
    </w:p>
    <w:p>
      <w:pPr>
        <w:spacing w:before="80" w:after="100"/>
      </w:pPr>
      <w:r>
        <w:rPr>
          <w:rFonts w:ascii="Arial" w:cs="Arial" w:eastAsia="Arial" w:hAnsi="Arial"/>
          <w:sz w:val="22"/>
          <w:szCs w:val="22"/>
        </w:rPr>
        <w:t xml:space="preserve">The gender functions in CM §6.1 used (D_X, μ_X, λ_X) without specifying whether these were per-commitment or network-level quantities. Given Definition A1.5, the per-commitment interpretation is now canonical.</w:t>
      </w:r>
    </w:p>
    <w:p>
      <w:pPr>
        <w:spacing w:before="60" w:after="60"/>
      </w:pPr>
      <w:r>
        <w:t xml:space="preserve"/>
      </w:r>
    </w:p>
    <w:p>
      <w:pPr>
        <w:spacing w:before="240" w:after="100"/>
      </w:pPr>
      <w:r>
        <w:rPr>
          <w:rFonts w:ascii="Arial" w:cs="Arial" w:eastAsia="Arial" w:hAnsi="Arial"/>
          <w:b/>
          <w:bCs/>
          <w:color w:val="1F3864"/>
          <w:sz w:val="23"/>
          <w:szCs w:val="23"/>
        </w:rPr>
        <w:t xml:space="preserve">Definition A1.6 (Gender Functions — Revised)</w:t>
      </w:r>
    </w:p>
    <w:p>
      <w:pPr>
        <w:spacing w:before="80" w:after="100"/>
      </w:pPr>
      <w:r>
        <w:rPr>
          <w:rFonts w:ascii="Arial" w:cs="Arial" w:eastAsia="Arial" w:hAnsi="Arial"/>
          <w:sz w:val="22"/>
          <w:szCs w:val="22"/>
        </w:rPr>
        <w:t xml:space="preserve">For a commitment Cⱼ interacting with Cₖ, the gender functions are evaluated using per-commitment local Fabric coordinates:</w:t>
      </w:r>
    </w:p>
    <w:p>
      <w:pPr>
        <w:spacing w:before="60" w:after="60"/>
        <w:ind w:left="720"/>
      </w:pPr>
      <w:r>
        <w:rPr>
          <w:rFonts w:ascii="Courier New" w:cs="Courier New" w:eastAsia="Courier New" w:hAnsi="Courier New"/>
          <w:color w:val="1F3864"/>
          <w:sz w:val="20"/>
          <w:szCs w:val="20"/>
        </w:rPr>
        <w:t xml:space="preserve">M_j = (1 - D_local(Cⱼ)) · μ_local(Cⱼ) · (1 - λ_local(Cⱼ))</w:t>
      </w:r>
    </w:p>
    <w:p>
      <w:pPr>
        <w:spacing w:before="60" w:after="60"/>
        <w:ind w:left="720"/>
      </w:pPr>
      <w:r>
        <w:rPr>
          <w:rFonts w:ascii="Courier New" w:cs="Courier New" w:eastAsia="Courier New" w:hAnsi="Courier New"/>
          <w:color w:val="1F3864"/>
          <w:sz w:val="20"/>
          <w:szCs w:val="20"/>
        </w:rPr>
        <w:t xml:space="preserve">     = (1 - Aⱼ) · μ_local(Cⱼ) · (1 - Tⱼ)</w:t>
      </w:r>
    </w:p>
    <w:p>
      <w:pPr>
        <w:spacing w:before="60" w:after="60"/>
      </w:pPr>
      <w:r>
        <w:t xml:space="preserve"/>
      </w:r>
    </w:p>
    <w:p>
      <w:pPr>
        <w:spacing w:before="60" w:after="60"/>
        <w:ind w:left="720"/>
      </w:pPr>
      <w:r>
        <w:rPr>
          <w:rFonts w:ascii="Courier New" w:cs="Courier New" w:eastAsia="Courier New" w:hAnsi="Courier New"/>
          <w:color w:val="1F3864"/>
          <w:sz w:val="20"/>
          <w:szCs w:val="20"/>
        </w:rPr>
        <w:t xml:space="preserve">F_j = D_local(Cⱼ) · (1 - μ_local(Cⱼ)) · λ_local(Cⱼ)</w:t>
      </w:r>
    </w:p>
    <w:p>
      <w:pPr>
        <w:spacing w:before="60" w:after="60"/>
        <w:ind w:left="720"/>
      </w:pPr>
      <w:r>
        <w:rPr>
          <w:rFonts w:ascii="Courier New" w:cs="Courier New" w:eastAsia="Courier New" w:hAnsi="Courier New"/>
          <w:color w:val="1F3864"/>
          <w:sz w:val="20"/>
          <w:szCs w:val="20"/>
        </w:rPr>
        <w:t xml:space="preserve">    = Aⱼ · (1 - μ_local(Cⱼ)) · Tⱼ</w:t>
      </w:r>
    </w:p>
    <w:p>
      <w:pPr>
        <w:spacing w:before="60" w:after="60"/>
      </w:pPr>
      <w:r>
        <w:t xml:space="preserve"/>
      </w:r>
    </w:p>
    <w:p>
      <w:pPr>
        <w:spacing w:before="60" w:after="60"/>
        <w:ind w:left="720"/>
      </w:pPr>
      <w:r>
        <w:rPr>
          <w:rFonts w:ascii="Courier New" w:cs="Courier New" w:eastAsia="Courier New" w:hAnsi="Courier New"/>
          <w:color w:val="1F3864"/>
          <w:sz w:val="20"/>
          <w:szCs w:val="20"/>
        </w:rPr>
        <w:t xml:space="preserve">N_j = 1 - |M_j - F_j|</w:t>
      </w:r>
    </w:p>
    <w:p>
      <w:pPr>
        <w:spacing w:before="60" w:after="60"/>
      </w:pPr>
      <w:r>
        <w:t xml:space="preserve"/>
      </w:r>
    </w:p>
    <w:p>
      <w:pPr>
        <w:spacing w:before="80" w:after="100"/>
      </w:pPr>
      <w:r>
        <w:rPr>
          <w:rFonts w:ascii="Arial" w:cs="Arial" w:eastAsia="Arial" w:hAnsi="Arial"/>
          <w:sz w:val="22"/>
          <w:szCs w:val="22"/>
        </w:rPr>
        <w:t xml:space="preserve">Gender complementarity G_c(A, B) = 1 if M_A ≈ 1 and F_B ≈ 1, or M_B ≈ 1 and F_A ≈ 1; otherwise G_c(A, B) = 0. The JUMP conditions in Theorem 6.2 are unchanged; M and F now have explicit expressions in anchor parameters.</w:t>
      </w:r>
    </w:p>
    <w:p>
      <w:pPr>
        <w:spacing w:before="60" w:after="60"/>
      </w:pPr>
      <w:r>
        <w:t xml:space="preserve"/>
      </w:r>
    </w:p>
    <w:p>
      <w:pPr>
        <w:spacing w:before="80" w:after="100"/>
      </w:pPr>
      <w:r>
        <w:rPr>
          <w:rFonts w:ascii="Arial" w:cs="Arial" w:eastAsia="Arial" w:hAnsi="Arial"/>
          <w:sz w:val="22"/>
          <w:szCs w:val="22"/>
        </w:rPr>
        <w:t xml:space="preserve">The coupling coefficient κ in §6.2 uses system-level Fabric coordinates (D_sys, μ_sys, λ_sys) and is unchanged. Gender functions use per-commitment coordinates. These operate at different scales without contradiction.</w:t>
      </w:r>
    </w:p>
    <w:p>
      <w:pPr>
        <w:spacing w:before="60" w:after="60"/>
      </w:pPr>
      <w:r>
        <w:t xml:space="preserve"/>
      </w:r>
    </w:p>
    <w:p>
      <w:pPr>
        <w:pBdr>
          <w:bottom w:val="single" w:color="2E74B5" w:sz="4" w:space="1"/>
        </w:pBdr>
        <w:spacing w:before="200" w:after="200"/>
      </w:pPr>
      <w:r>
        <w:rPr>
          <w:rFonts w:ascii="Arial" w:cs="Arial" w:eastAsia="Arial" w:hAnsi="Arial"/>
          <w:sz w:val="22"/>
          <w:szCs w:val="22"/>
        </w:rPr>
        <w:t xml:space="preserve"/>
      </w:r>
    </w:p>
    <w:p>
      <w:pPr>
        <w:pStyle w:val="Heading2"/>
        <w:spacing w:before="300" w:after="140"/>
      </w:pPr>
      <w:r>
        <w:rPr>
          <w:rFonts w:ascii="Arial" w:cs="Arial" w:eastAsia="Arial" w:hAnsi="Arial"/>
          <w:b/>
          <w:bCs/>
          <w:color w:val="2E74B5"/>
          <w:sz w:val="26"/>
          <w:szCs w:val="26"/>
        </w:rPr>
        <w:t xml:space="preserve">Resolution M-03: Tunneling Derived from CM Primitives</w:t>
      </w:r>
    </w:p>
    <w:p>
      <w:pPr>
        <w:spacing w:before="80" w:after="80"/>
      </w:pPr>
      <w:r>
        <w:rPr>
          <w:rFonts w:ascii="Arial" w:cs="Arial" w:eastAsia="Arial" w:hAnsi="Arial"/>
          <w:b/>
          <w:bCs/>
          <w:sz w:val="22"/>
          <w:szCs w:val="22"/>
        </w:rPr>
        <w:t xml:space="preserve">Closes:</w:t>
      </w:r>
      <w:r>
        <w:rPr>
          <w:rFonts w:ascii="Arial" w:cs="Arial" w:eastAsia="Arial" w:hAnsi="Arial"/>
          <w:sz w:val="22"/>
          <w:szCs w:val="22"/>
        </w:rPr>
        <w:t xml:space="preserve">  M-03 — Tunneling formula imported from quantum mechanics (CM §9.1)</w:t>
      </w:r>
    </w:p>
    <w:p>
      <w:pPr>
        <w:spacing w:before="60" w:after="60"/>
      </w:pPr>
      <w:r>
        <w:t xml:space="preserve"/>
      </w:r>
    </w:p>
    <w:p>
      <w:pPr>
        <w:spacing w:before="80" w:after="100"/>
      </w:pPr>
      <w:r>
        <w:rPr>
          <w:rFonts w:ascii="Arial" w:cs="Arial" w:eastAsia="Arial" w:hAnsi="Arial"/>
          <w:sz w:val="22"/>
          <w:szCs w:val="22"/>
        </w:rPr>
        <w:t xml:space="preserve">The tunneling formula in CM §9.1 was the WKB approximation from quantum mechanics with relabeled variables. This resolution derives a tunneling probability from CM primitives directly, and notes the WKB formula as a continuous approximation valid in the large-barrier limit.</w:t>
      </w:r>
    </w:p>
    <w:p>
      <w:pPr>
        <w:spacing w:before="60" w:after="60"/>
      </w:pPr>
      <w:r>
        <w:t xml:space="preserve"/>
      </w:r>
    </w:p>
    <w:p>
      <w:pPr>
        <w:spacing w:before="240" w:after="100"/>
      </w:pPr>
      <w:r>
        <w:rPr>
          <w:rFonts w:ascii="Arial" w:cs="Arial" w:eastAsia="Arial" w:hAnsi="Arial"/>
          <w:b/>
          <w:bCs/>
          <w:color w:val="1F3864"/>
          <w:sz w:val="23"/>
          <w:szCs w:val="23"/>
        </w:rPr>
        <w:t xml:space="preserve">Definition A1.7 (CM-Native Tunneling Probability)</w:t>
      </w:r>
    </w:p>
    <w:p>
      <w:pPr>
        <w:spacing w:before="80" w:after="100"/>
      </w:pPr>
      <w:r>
        <w:rPr>
          <w:rFonts w:ascii="Arial" w:cs="Arial" w:eastAsia="Arial" w:hAnsi="Arial"/>
          <w:sz w:val="22"/>
          <w:szCs w:val="22"/>
        </w:rPr>
        <w:t xml:space="preserve">VIOLATE across a D-barrier of width w = ΔRᴰ with coupling strength κ and decay constant k_v = ln 2 has transmission probability:</w:t>
      </w:r>
    </w:p>
    <w:p>
      <w:pPr>
        <w:spacing w:before="60" w:after="60"/>
        <w:ind w:left="720"/>
      </w:pPr>
      <w:r>
        <w:rPr>
          <w:rFonts w:ascii="Courier New" w:cs="Courier New" w:eastAsia="Courier New" w:hAnsi="Courier New"/>
          <w:color w:val="1F3864"/>
          <w:sz w:val="20"/>
          <w:szCs w:val="20"/>
        </w:rPr>
        <w:t xml:space="preserve">P_tunnel = exp(-k_v · D_sys · (1 - μ_sys) · w / κ)</w:t>
      </w:r>
    </w:p>
    <w:p>
      <w:pPr>
        <w:spacing w:before="80" w:after="100"/>
      </w:pPr>
      <w:r>
        <w:rPr>
          <w:rFonts w:ascii="Arial" w:cs="Arial" w:eastAsia="Arial" w:hAnsi="Arial"/>
          <w:sz w:val="22"/>
          <w:szCs w:val="22"/>
        </w:rPr>
        <w:t xml:space="preserve">Derivation: VIOLATE incurs damage Damage = k_v · (ΔD + Δλ + (1 - μ) · |Δμ|) per CM §4.2.4. For a barrier of uniform strength D and width w in Rᴰ-space, the accumulated damage for a traversal attempt is k_v · D · w. The VIOLATE succeeds with probability inversely proportional to the accumulated damage, scaled by coupling strength κ which determines the energy available to the VIOLATE operation:</w:t>
      </w:r>
    </w:p>
    <w:p>
      <w:pPr>
        <w:spacing w:before="60" w:after="60"/>
        <w:ind w:left="720"/>
      </w:pPr>
      <w:r>
        <w:rPr>
          <w:rFonts w:ascii="Courier New" w:cs="Courier New" w:eastAsia="Courier New" w:hAnsi="Courier New"/>
          <w:color w:val="1F3864"/>
          <w:sz w:val="20"/>
          <w:szCs w:val="20"/>
        </w:rPr>
        <w:t xml:space="preserve">P_tunnel = exp(-k_v · D · (1 - μ) · w / κ)</w:t>
      </w:r>
    </w:p>
    <w:p>
      <w:pPr>
        <w:spacing w:before="80" w:after="100"/>
      </w:pPr>
      <w:r>
        <w:rPr>
          <w:rFonts w:ascii="Arial" w:cs="Arial" w:eastAsia="Arial" w:hAnsi="Arial"/>
          <w:sz w:val="22"/>
          <w:szCs w:val="22"/>
        </w:rPr>
        <w:t xml:space="preserve">The factor (1 - μ) appears because memory degradation amplifies damage from VIOLATE (Theorem 4.3). Higher μ reduces effective barrier strength; lower μ increases it.</w:t>
      </w:r>
    </w:p>
    <w:p>
      <w:pPr>
        <w:spacing w:before="60" w:after="60"/>
      </w:pPr>
      <w:r>
        <w:t xml:space="preserve"/>
      </w:r>
    </w:p>
    <w:p>
      <w:pPr>
        <w:spacing w:before="80" w:after="100"/>
      </w:pPr>
      <w:r>
        <w:rPr>
          <w:rFonts w:ascii="Arial" w:cs="Arial" w:eastAsia="Arial" w:hAnsi="Arial"/>
          <w:sz w:val="22"/>
          <w:szCs w:val="22"/>
        </w:rPr>
        <w:t xml:space="preserve">The WKB approximation in CM §9.1 is retained as a continuous-limit formula. In the limit of large D and small κ, the WKB integral ∫√(2m(V(x) - E))dx approximates the CM-native exponent k_v · D · (1 - μ) · w / κ with the substitutions m = 1/λ, V(x) = D · (1 - μ), E = κ · CV₀. The WKB formula is therefore a continuous approximation of the discrete CM result, not an independent import. This preserves the emergence claim: the WKB formula follows from CM algebra in the appropriate limit.</w:t>
      </w:r>
    </w:p>
    <w:p>
      <w:pPr>
        <w:spacing w:before="60" w:after="60"/>
      </w:pPr>
      <w:r>
        <w:t xml:space="preserve"/>
      </w:r>
    </w:p>
    <w:p>
      <w:pPr>
        <w:pBdr>
          <w:bottom w:val="single" w:color="2E74B5" w:sz="4" w:space="1"/>
        </w:pBdr>
        <w:spacing w:before="200" w:after="200"/>
      </w:pPr>
      <w:r>
        <w:rPr>
          <w:rFonts w:ascii="Arial" w:cs="Arial" w:eastAsia="Arial" w:hAnsi="Arial"/>
          <w:sz w:val="22"/>
          <w:szCs w:val="22"/>
        </w:rPr>
        <w:t xml:space="preserve"/>
      </w:r>
    </w:p>
    <w:p>
      <w:pPr>
        <w:pStyle w:val="Heading1"/>
        <w:spacing w:before="400" w:after="200"/>
      </w:pPr>
      <w:r>
        <w:rPr>
          <w:rFonts w:ascii="Arial" w:cs="Arial" w:eastAsia="Arial" w:hAnsi="Arial"/>
          <w:b/>
          <w:bCs/>
          <w:color w:val="1F3864"/>
          <w:sz w:val="32"/>
          <w:szCs w:val="32"/>
        </w:rPr>
        <w:t xml:space="preserve">3. Structural Resolutions</w:t>
      </w:r>
    </w:p>
    <w:p>
      <w:pPr>
        <w:pStyle w:val="Heading2"/>
        <w:spacing w:before="300" w:after="140"/>
      </w:pPr>
      <w:r>
        <w:rPr>
          <w:rFonts w:ascii="Arial" w:cs="Arial" w:eastAsia="Arial" w:hAnsi="Arial"/>
          <w:b/>
          <w:bCs/>
          <w:color w:val="2E74B5"/>
          <w:sz w:val="26"/>
          <w:szCs w:val="26"/>
        </w:rPr>
        <w:t xml:space="preserve">Resolution S-01: The Rᴰ–ℐ Bridge Theorem</w:t>
      </w:r>
    </w:p>
    <w:p>
      <w:pPr>
        <w:spacing w:before="80" w:after="80"/>
      </w:pPr>
      <w:r>
        <w:rPr>
          <w:rFonts w:ascii="Arial" w:cs="Arial" w:eastAsia="Arial" w:hAnsi="Arial"/>
          <w:b/>
          <w:bCs/>
          <w:sz w:val="22"/>
          <w:szCs w:val="22"/>
        </w:rPr>
        <w:t xml:space="preserve">Closes:</w:t>
      </w:r>
      <w:r>
        <w:rPr>
          <w:rFonts w:ascii="Arial" w:cs="Arial" w:eastAsia="Arial" w:hAnsi="Arial"/>
          <w:sz w:val="22"/>
          <w:szCs w:val="22"/>
        </w:rPr>
        <w:t xml:space="preserve">  S-01 — Rᴰ and ℐ both encode phase difference without stated relationship (CM §1.4 vs §3)</w:t>
      </w:r>
    </w:p>
    <w:p>
      <w:pPr>
        <w:spacing w:before="60" w:after="60"/>
      </w:pPr>
      <w:r>
        <w:t xml:space="preserve"/>
      </w:r>
    </w:p>
    <w:p>
      <w:pPr>
        <w:spacing w:before="80" w:after="100"/>
      </w:pPr>
      <w:r>
        <w:rPr>
          <w:rFonts w:ascii="Arial" w:cs="Arial" w:eastAsia="Arial" w:hAnsi="Arial"/>
          <w:sz w:val="22"/>
          <w:szCs w:val="22"/>
        </w:rPr>
        <w:t xml:space="preserve">Rᴰ(i,j) = (1/π) · arccos(cos(θᵢ - θⱼ)) and ℐ(Fᵢ, Fⱼ) are both functions of cos(θᵢ - θⱼ). Their relationship was never formally stated. The following theorem bridges the two systems.</w:t>
      </w:r>
    </w:p>
    <w:p>
      <w:pPr>
        <w:spacing w:before="60" w:after="60"/>
      </w:pPr>
      <w:r>
        <w:t xml:space="preserve"/>
      </w:r>
    </w:p>
    <w:p>
      <w:pPr>
        <w:spacing w:before="240" w:after="100"/>
      </w:pPr>
      <w:r>
        <w:rPr>
          <w:rFonts w:ascii="Arial" w:cs="Arial" w:eastAsia="Arial" w:hAnsi="Arial"/>
          <w:b/>
          <w:bCs/>
          <w:color w:val="1F3864"/>
          <w:sz w:val="23"/>
          <w:szCs w:val="23"/>
        </w:rPr>
        <w:t xml:space="preserve">Theorem A1.2 (Rᴰ–ℐ Bridge)</w:t>
      </w:r>
    </w:p>
    <w:p>
      <w:pPr>
        <w:spacing w:before="80" w:after="100"/>
      </w:pPr>
      <w:r>
        <w:rPr>
          <w:rFonts w:ascii="Arial" w:cs="Arial" w:eastAsia="Arial" w:hAnsi="Arial"/>
          <w:sz w:val="22"/>
          <w:szCs w:val="22"/>
        </w:rPr>
        <w:t xml:space="preserve">Define threshold distances:</w:t>
      </w:r>
    </w:p>
    <w:p>
      <w:pPr>
        <w:spacing w:before="60" w:after="60"/>
        <w:ind w:left="720"/>
      </w:pPr>
      <w:r>
        <w:rPr>
          <w:rFonts w:ascii="Courier New" w:cs="Courier New" w:eastAsia="Courier New" w:hAnsi="Courier New"/>
          <w:color w:val="1F3864"/>
          <w:sz w:val="20"/>
          <w:szCs w:val="20"/>
        </w:rPr>
        <w:t xml:space="preserve">r_high = (1/π) · arccos(τ_high) = (1/π) · arccos(0.8) ≈ 0.2048</w:t>
      </w:r>
    </w:p>
    <w:p>
      <w:pPr>
        <w:spacing w:before="60" w:after="60"/>
        <w:ind w:left="720"/>
      </w:pPr>
      <w:r>
        <w:rPr>
          <w:rFonts w:ascii="Courier New" w:cs="Courier New" w:eastAsia="Courier New" w:hAnsi="Courier New"/>
          <w:color w:val="1F3864"/>
          <w:sz w:val="20"/>
          <w:szCs w:val="20"/>
        </w:rPr>
        <w:t xml:space="preserve">r_low  = (1/π) · arccos(τ_low)  = (1/π) · arccos(0.3) ≈ 0.4030</w:t>
      </w:r>
    </w:p>
    <w:p>
      <w:pPr>
        <w:spacing w:before="60" w:after="60"/>
      </w:pPr>
      <w:r>
        <w:t xml:space="preserve"/>
      </w:r>
    </w:p>
    <w:p>
      <w:pPr>
        <w:spacing w:before="80" w:after="100"/>
      </w:pPr>
      <w:r>
        <w:rPr>
          <w:rFonts w:ascii="Arial" w:cs="Arial" w:eastAsia="Arial" w:hAnsi="Arial"/>
          <w:sz w:val="22"/>
          <w:szCs w:val="22"/>
        </w:rPr>
        <w:t xml:space="preserve">Then the intersection function is exactly:</w:t>
      </w:r>
    </w:p>
    <w:p>
      <w:pPr>
        <w:spacing w:before="60" w:after="60"/>
        <w:ind w:left="720"/>
      </w:pPr>
      <w:r>
        <w:rPr>
          <w:rFonts w:ascii="Courier New" w:cs="Courier New" w:eastAsia="Courier New" w:hAnsi="Courier New"/>
          <w:color w:val="1F3864"/>
          <w:sz w:val="20"/>
          <w:szCs w:val="20"/>
        </w:rPr>
        <w:t xml:space="preserve">ℐ(Fᵢ, Fⱼ) = +1  iff  Rᴰ(i,j) ≤ r_high  ≈ 0.2048</w:t>
      </w:r>
    </w:p>
    <w:p>
      <w:pPr>
        <w:spacing w:before="60" w:after="60"/>
        <w:ind w:left="720"/>
      </w:pPr>
      <w:r>
        <w:rPr>
          <w:rFonts w:ascii="Courier New" w:cs="Courier New" w:eastAsia="Courier New" w:hAnsi="Courier New"/>
          <w:color w:val="1F3864"/>
          <w:sz w:val="20"/>
          <w:szCs w:val="20"/>
        </w:rPr>
        <w:t xml:space="preserve">ℐ(Fᵢ, Fⱼ) =  0  iff  r_high &lt; Rᴰ(i,j) ≤ r_low  ≈ 0.4030</w:t>
      </w:r>
    </w:p>
    <w:p>
      <w:pPr>
        <w:spacing w:before="60" w:after="60"/>
        <w:ind w:left="720"/>
      </w:pPr>
      <w:r>
        <w:rPr>
          <w:rFonts w:ascii="Courier New" w:cs="Courier New" w:eastAsia="Courier New" w:hAnsi="Courier New"/>
          <w:color w:val="1F3864"/>
          <w:sz w:val="20"/>
          <w:szCs w:val="20"/>
        </w:rPr>
        <w:t xml:space="preserve">ℐ(Fᵢ, Fⱼ) = -1  iff  Rᴰ(i,j) &gt; r_low  ≈ 0.4030</w:t>
      </w:r>
    </w:p>
    <w:p>
      <w:pPr>
        <w:spacing w:before="60" w:after="60"/>
      </w:pPr>
      <w:r>
        <w:t xml:space="preserve"/>
      </w:r>
    </w:p>
    <w:p>
      <w:pPr>
        <w:spacing w:before="80" w:after="100"/>
      </w:pPr>
      <w:r>
        <w:rPr>
          <w:rFonts w:ascii="Arial" w:cs="Arial" w:eastAsia="Arial" w:hAnsi="Arial"/>
          <w:sz w:val="22"/>
          <w:szCs w:val="22"/>
        </w:rPr>
        <w:t xml:space="preserve">Proof: From Definition 3.1, Rᴰ = (1/π) · arccos(cos(Δθ)). Since arccos is strictly decreasing on [0,π]: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CCCCCC" w:sz="1"/>
              <w:left w:val="single" w:color="2E74B5" w:sz="8"/>
              <w:bottom w:val="single" w:color="CCCCCC" w:sz="1"/>
              <w:right w:val="none" w:color="FFFFFF" w:sz="0"/>
            </w:tcBorders>
            <w:shd w:fill="FFFFFF" w:val="clear"/>
          </w:tcPr>
          <w:p>
            <w:r>
              <w:t xml:space="preserve"/>
            </w:r>
          </w:p>
        </w:tc>
        <w:tc>
          <w:tcPr>
            <w:tcW w:type="dxa" w:w="9080"/>
            <w:tcBorders>
              <w:top w:val="single" w:color="CCCCCC" w:sz="1"/>
              <w:left w:val="none" w:color="FFFFFF" w:sz="0"/>
              <w:bottom w:val="single" w:color="CCCCCC" w:sz="1"/>
              <w:right w:val="single" w:color="CCCCCC" w:sz="1"/>
            </w:tcBorders>
            <w:shd w:fill="F7F9FD" w:val="clear"/>
            <w:tcMar>
              <w:top w:type="dxa" w:w="100"/>
              <w:left w:type="dxa" w:w="160"/>
              <w:bottom w:type="dxa" w:w="100"/>
              <w:right w:type="dxa" w:w="160"/>
            </w:tcMar>
          </w:tcPr>
          <w:p>
            <w:pPr>
              <w:spacing w:before="60" w:after="60"/>
            </w:pPr>
            <w:r>
              <w:rPr>
                <w:rFonts w:ascii="Courier New" w:cs="Courier New" w:eastAsia="Courier New" w:hAnsi="Courier New"/>
                <w:sz w:val="20"/>
                <w:szCs w:val="20"/>
              </w:rPr>
              <w:t xml:space="preserve">cos(Δθ) ≥ τ_high  ⟺  arccos(cos(Δθ)) ≤ arccos(τ_high)  ⟺  Rᴰ ≤ (1/π)arccos(τ_high) = r_high</w:t>
            </w:r>
          </w:p>
          <w:p>
            <w:pPr>
              <w:spacing w:before="60" w:after="60"/>
            </w:pPr>
            <w:r>
              <w:rPr>
                <w:rFonts w:ascii="Courier New" w:cs="Courier New" w:eastAsia="Courier New" w:hAnsi="Courier New"/>
                <w:sz w:val="20"/>
                <w:szCs w:val="20"/>
              </w:rPr>
              <w:t xml:space="preserve">cos(Δθ) &lt; τ_low   ⟺  arccos(cos(Δθ)) &gt; arccos(τ_low)   ⟺  Rᴰ &gt; (1/π)arccos(τ_low) = r_low</w:t>
            </w:r>
          </w:p>
          <w:p>
            <w:pPr>
              <w:spacing w:before="60" w:after="60"/>
            </w:pPr>
            <w:r>
              <w:rPr>
                <w:rFonts w:ascii="Arial" w:cs="Arial" w:eastAsia="Arial" w:hAnsi="Arial"/>
                <w:i/>
                <w:iCs/>
                <w:sz w:val="20"/>
                <w:szCs w:val="20"/>
              </w:rPr>
              <w:t xml:space="preserve">The middle condition follows by complement. ∎</w:t>
            </w:r>
          </w:p>
        </w:tc>
      </w:tr>
    </w:tbl>
    <w:p>
      <w:pPr>
        <w:spacing w:before="60" w:after="60"/>
      </w:pPr>
      <w:r>
        <w:t xml:space="preserve"/>
      </w:r>
    </w:p>
    <w:p>
      <w:pPr>
        <w:spacing w:before="80" w:after="100"/>
      </w:pPr>
      <w:r>
        <w:rPr>
          <w:rFonts w:ascii="Arial" w:cs="Arial" w:eastAsia="Arial" w:hAnsi="Arial"/>
          <w:sz w:val="22"/>
          <w:szCs w:val="22"/>
        </w:rPr>
        <w:t xml:space="preserve">Corollary A1.1: The interaction mode thresholds (e⁻³ ≈ 0.050, e⁻² ≈ 0.135, e⁻¹ ≈ 0.368) and the intersection thresholds (r_high ≈ 0.205, r_low ≈ 0.403) are distinct systems on the same Rᴰ axis. They govern different aspects of the relational structure: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Rᴰ range</w:t>
            </w:r>
          </w:p>
        </w:tc>
        <w:tc>
          <w:tcPr>
            <w:tcW w:type="dxa" w:w="30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ℐ verdict</w:t>
            </w:r>
          </w:p>
        </w:tc>
        <w:tc>
          <w:tcPr>
            <w:tcW w:type="dxa" w:w="43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Interaction mode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0 – 0.050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 (full alignment)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Coupling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0.050 – 0.135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 (full alignment)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Deep Interference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0.135 – 0.205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 (full alignment)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Interference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0.205 – 0.368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0 (negotiation)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Interference / Exchange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0.368 – 0.403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0 (negotiation)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Exchange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0.403 – 0.632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 (disagreement)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Exchange / Isolation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 0.632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 (disagreement)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Isolation</w:t>
            </w:r>
          </w:p>
        </w:tc>
      </w:tr>
    </w:tbl>
    <w:p>
      <w:pPr>
        <w:spacing w:before="60" w:after="60"/>
      </w:pPr>
      <w:r>
        <w:t xml:space="preserve"/>
      </w:r>
    </w:p>
    <w:p>
      <w:pPr>
        <w:spacing w:before="80" w:after="100"/>
      </w:pPr>
      <w:r>
        <w:rPr>
          <w:rFonts w:ascii="Arial" w:cs="Arial" w:eastAsia="Arial" w:hAnsi="Arial"/>
          <w:sz w:val="22"/>
          <w:szCs w:val="22"/>
        </w:rPr>
        <w:t xml:space="preserve">ℐ and mode thresholds are independent: a commitment pair in Coupling mode (Rᴰ &lt; 0.050) has ℐ = +1 necessarily, but a pair in Exchange mode may have ℐ = 0 or ℐ = -1 depending on Rᴰ. The mode determines which operations are permitted; ℐ determines whether those operations realize value.</w:t>
      </w:r>
    </w:p>
    <w:p>
      <w:pPr>
        <w:spacing w:before="60" w:after="60"/>
      </w:pPr>
      <w:r>
        <w:t xml:space="preserve"/>
      </w:r>
    </w:p>
    <w:p>
      <w:pPr>
        <w:pBdr>
          <w:bottom w:val="single" w:color="2E74B5" w:sz="4" w:space="1"/>
        </w:pBdr>
        <w:spacing w:before="200" w:after="200"/>
      </w:pPr>
      <w:r>
        <w:rPr>
          <w:rFonts w:ascii="Arial" w:cs="Arial" w:eastAsia="Arial" w:hAnsi="Arial"/>
          <w:sz w:val="22"/>
          <w:szCs w:val="22"/>
        </w:rPr>
        <w:t xml:space="preserve"/>
      </w:r>
    </w:p>
    <w:p>
      <w:pPr>
        <w:pStyle w:val="Heading2"/>
        <w:spacing w:before="300" w:after="140"/>
      </w:pPr>
      <w:r>
        <w:rPr>
          <w:rFonts w:ascii="Arial" w:cs="Arial" w:eastAsia="Arial" w:hAnsi="Arial"/>
          <w:b/>
          <w:bCs/>
          <w:color w:val="2E74B5"/>
          <w:sz w:val="26"/>
          <w:szCs w:val="26"/>
        </w:rPr>
        <w:t xml:space="preserve">Resolution S-02: Isolation Classification</w:t>
      </w:r>
    </w:p>
    <w:p>
      <w:pPr>
        <w:spacing w:before="80" w:after="80"/>
      </w:pPr>
      <w:r>
        <w:rPr>
          <w:rFonts w:ascii="Arial" w:cs="Arial" w:eastAsia="Arial" w:hAnsi="Arial"/>
          <w:b/>
          <w:bCs/>
          <w:sz w:val="22"/>
          <w:szCs w:val="22"/>
        </w:rPr>
        <w:t xml:space="preserve">Closes:</w:t>
      </w:r>
      <w:r>
        <w:rPr>
          <w:rFonts w:ascii="Arial" w:cs="Arial" w:eastAsia="Arial" w:hAnsi="Arial"/>
          <w:sz w:val="22"/>
          <w:szCs w:val="22"/>
        </w:rPr>
        <w:t xml:space="preserve">  S-02 — Isolation described as 'not a mode' but listed in mode table (CM §5.1 vs Table 9.1)</w:t>
      </w:r>
    </w:p>
    <w:p>
      <w:pPr>
        <w:spacing w:before="60" w:after="60"/>
      </w:pPr>
      <w:r>
        <w:t xml:space="preserve"/>
      </w:r>
    </w:p>
    <w:p>
      <w:pPr>
        <w:spacing w:before="80" w:after="100"/>
      </w:pPr>
      <w:r>
        <w:rPr>
          <w:rFonts w:ascii="Arial" w:cs="Arial" w:eastAsia="Arial" w:hAnsi="Arial"/>
          <w:sz w:val="22"/>
          <w:szCs w:val="22"/>
        </w:rPr>
        <w:t xml:space="preserve">Remark 5.1 of CM v4.0 correctly states that Isolation is not an interaction mode but the negation of interaction. Table 9.1 listed Isolation alongside the four interaction modes, creating an implicit contradiction. This resolution preserves the Remark 5.1 classification and corrects Table 9.1.</w:t>
      </w:r>
    </w:p>
    <w:p>
      <w:pPr>
        <w:spacing w:before="60" w:after="60"/>
      </w:pPr>
      <w:r>
        <w:t xml:space="preserve"/>
      </w:r>
    </w:p>
    <w:p>
      <w:pPr>
        <w:spacing w:before="80" w:after="100"/>
      </w:pPr>
      <w:r>
        <w:rPr>
          <w:rFonts w:ascii="Arial" w:cs="Arial" w:eastAsia="Arial" w:hAnsi="Arial"/>
          <w:sz w:val="22"/>
          <w:szCs w:val="22"/>
        </w:rPr>
        <w:t xml:space="preserve">Correction to CM Table 9.1: Isolation is reclassified as a Boundary Condition, not a mode. The table row is relabeled accordingly: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360"/>
        <w:gridCol w:w="300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Rᴰ Range</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Permitted Operations</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Fallback on Violation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 Coupling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9"/>
                <w:szCs w:val="19"/>
              </w:rPr>
              <w:t xml:space="preserve">&lt; e⁻³ ≈ 0.050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CRT, INC, ROT, JMP, RPR, ANL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Absorption, Tunneling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 Deep Interference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9"/>
                <w:szCs w:val="19"/>
              </w:rPr>
              <w:t xml:space="preserve">[e⁻³, e⁻²)</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CRT, INC, ROT, RPR, ANL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Absorption, Scattering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 Interference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9"/>
                <w:szCs w:val="19"/>
              </w:rPr>
              <w:t xml:space="preserve">[e⁻², e⁻¹)</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CRT, INC, ROT, RPR, ANL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Scattering, Refraction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 Exchange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9"/>
                <w:szCs w:val="19"/>
              </w:rPr>
              <w:t xml:space="preserve">[e⁻¹, 1-e⁻¹)</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CRT, INC (via CₘE), RPR, ANL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Refraction, Bounce</w:t>
            </w:r>
          </w:p>
        </w:tc>
      </w:tr>
      <w:tr>
        <w:tc>
          <w:tcPr>
            <w:tcW w:type="dxa" w:w="2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Boundary: Isolation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9"/>
                <w:szCs w:val="19"/>
              </w:rPr>
              <w:t xml:space="preserve">≥ 1-e⁻¹ ≈ 0.632</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Self-operations only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Bounce, Reflection</w:t>
            </w:r>
          </w:p>
        </w:tc>
      </w:tr>
    </w:tbl>
    <w:p>
      <w:pPr>
        <w:spacing w:before="60" w:after="60"/>
      </w:pPr>
      <w:r>
        <w:t xml:space="preserve"/>
      </w:r>
    </w:p>
    <w:p>
      <w:pPr>
        <w:spacing w:before="80" w:after="100"/>
      </w:pPr>
      <w:r>
        <w:rPr>
          <w:rFonts w:ascii="Arial" w:cs="Arial" w:eastAsia="Arial" w:hAnsi="Arial"/>
          <w:sz w:val="22"/>
          <w:szCs w:val="22"/>
        </w:rPr>
        <w:t xml:space="preserve">Isolation is labeled 'Boundary Condition' in the revised table. Remark 5.1 stands without amendment.</w:t>
      </w:r>
    </w:p>
    <w:p>
      <w:pPr>
        <w:spacing w:before="60" w:after="60"/>
      </w:pPr>
      <w:r>
        <w:t xml:space="preserve"/>
      </w:r>
    </w:p>
    <w:p>
      <w:pPr>
        <w:pBdr>
          <w:bottom w:val="single" w:color="2E74B5" w:sz="4" w:space="1"/>
        </w:pBdr>
        <w:spacing w:before="200" w:after="200"/>
      </w:pPr>
      <w:r>
        <w:rPr>
          <w:rFonts w:ascii="Arial" w:cs="Arial" w:eastAsia="Arial" w:hAnsi="Arial"/>
          <w:sz w:val="22"/>
          <w:szCs w:val="22"/>
        </w:rPr>
        <w:t xml:space="preserve"/>
      </w:r>
    </w:p>
    <w:p>
      <w:pPr>
        <w:pStyle w:val="Heading1"/>
        <w:spacing w:before="400" w:after="200"/>
      </w:pPr>
      <w:r>
        <w:rPr>
          <w:rFonts w:ascii="Arial" w:cs="Arial" w:eastAsia="Arial" w:hAnsi="Arial"/>
          <w:b/>
          <w:bCs/>
          <w:color w:val="1F3864"/>
          <w:sz w:val="32"/>
          <w:szCs w:val="32"/>
        </w:rPr>
        <w:t xml:space="preserve">4. Derivation Gap Resolutions</w:t>
      </w:r>
    </w:p>
    <w:p>
      <w:pPr>
        <w:pStyle w:val="Heading2"/>
        <w:spacing w:before="300" w:after="140"/>
      </w:pPr>
      <w:r>
        <w:rPr>
          <w:rFonts w:ascii="Arial" w:cs="Arial" w:eastAsia="Arial" w:hAnsi="Arial"/>
          <w:b/>
          <w:bCs/>
          <w:color w:val="2E74B5"/>
          <w:sz w:val="26"/>
          <w:szCs w:val="26"/>
        </w:rPr>
        <w:t xml:space="preserve">Resolution G-01: Per-Operation Conservation Demonstrations</w:t>
      </w:r>
    </w:p>
    <w:p>
      <w:pPr>
        <w:spacing w:before="80" w:after="80"/>
      </w:pPr>
      <w:r>
        <w:rPr>
          <w:rFonts w:ascii="Arial" w:cs="Arial" w:eastAsia="Arial" w:hAnsi="Arial"/>
          <w:b/>
          <w:bCs/>
          <w:sz w:val="22"/>
          <w:szCs w:val="22"/>
        </w:rPr>
        <w:t xml:space="preserve">Closes:</w:t>
      </w:r>
      <w:r>
        <w:rPr>
          <w:rFonts w:ascii="Arial" w:cs="Arial" w:eastAsia="Arial" w:hAnsi="Arial"/>
          <w:sz w:val="22"/>
          <w:szCs w:val="22"/>
        </w:rPr>
        <w:t xml:space="preserve">  G-01 — Theorem 7.1 conservation proof is a sketch, not a demonstration (CM §7.1)</w:t>
      </w:r>
    </w:p>
    <w:p>
      <w:pPr>
        <w:spacing w:before="60" w:after="60"/>
      </w:pPr>
      <w:r>
        <w:t xml:space="preserve"/>
      </w:r>
    </w:p>
    <w:p>
      <w:pPr>
        <w:spacing w:before="80" w:after="100"/>
      </w:pPr>
      <w:r>
        <w:rPr>
          <w:rFonts w:ascii="Arial" w:cs="Arial" w:eastAsia="Arial" w:hAnsi="Arial"/>
          <w:sz w:val="22"/>
          <w:szCs w:val="22"/>
        </w:rPr>
        <w:t xml:space="preserve">Theorem 7.1 asserted path-invariance of RV_total with a proof sketch. This resolution provides per-operation demonstrations for all six base operations. Recall:</w:t>
      </w:r>
    </w:p>
    <w:p>
      <w:pPr>
        <w:spacing w:before="60" w:after="60"/>
        <w:ind w:left="720"/>
      </w:pPr>
      <w:r>
        <w:rPr>
          <w:rFonts w:ascii="Courier New" w:cs="Courier New" w:eastAsia="Courier New" w:hAnsi="Courier New"/>
          <w:color w:val="1F3864"/>
          <w:sz w:val="20"/>
          <w:szCs w:val="20"/>
        </w:rPr>
        <w:t xml:space="preserve">RV_total = Σⱼ EVⱼ + k₁ Σᵢ&lt;ⱼ Φᵢⱼ + k₂ Σⱼ Ψⱼ - kμ Σⱼ (1-μⱼ)·Ψⱼ</w:t>
      </w:r>
    </w:p>
    <w:p>
      <w:pPr>
        <w:spacing w:before="60" w:after="60"/>
        <w:ind w:left="720"/>
      </w:pPr>
      <w:r>
        <w:rPr>
          <w:rFonts w:ascii="Courier New" w:cs="Courier New" w:eastAsia="Courier New" w:hAnsi="Courier New"/>
          <w:color w:val="1F3864"/>
          <w:sz w:val="20"/>
          <w:szCs w:val="20"/>
        </w:rPr>
        <w:t xml:space="preserve">EVⱼ = CVⱼ + Compⱼ,   Φᵢⱼ = 1 - Rᴰ(i,j),   Ψⱼ = Gⱼ·μⱼ·Dⱼ/(1+λⱼ)</w:t>
      </w:r>
    </w:p>
    <w:p>
      <w:pPr>
        <w:spacing w:before="60" w:after="60"/>
      </w:pPr>
      <w:r>
        <w:t xml:space="preserve"/>
      </w:r>
    </w:p>
    <w:p>
      <w:pPr>
        <w:spacing w:before="240" w:after="100"/>
      </w:pPr>
      <w:r>
        <w:rPr>
          <w:rFonts w:ascii="Arial" w:cs="Arial" w:eastAsia="Arial" w:hAnsi="Arial"/>
          <w:b/>
          <w:bCs/>
          <w:color w:val="1F3864"/>
          <w:sz w:val="23"/>
          <w:szCs w:val="23"/>
        </w:rPr>
        <w:t xml:space="preserve">INC (α, δ) on commitment Cⱼ, α ∈ {V, A, T}:</w:t>
      </w:r>
    </w:p>
    <w:p>
      <w:pPr>
        <w:spacing w:before="80" w:after="100"/>
      </w:pPr>
      <w:r>
        <w:rPr>
          <w:rFonts w:ascii="Arial" w:cs="Arial" w:eastAsia="Arial" w:hAnsi="Arial"/>
          <w:sz w:val="22"/>
          <w:szCs w:val="22"/>
        </w:rPr>
        <w:t xml:space="preserve">INC increases CVⱼ by ΔCV = CV₀ · δ · (∂/∂α)[V·A·(1+T)] · max(0,ℐ) · e^(-kd) &gt; 0. The valuation gap ΔV(Cⱼ) increases by the same amount (since V̂ₗ = -CV₀ is unchanged). By Theorem 2.1, the compensation requirement increases: ||Compⱼ|| must increase by |ΔCV| to satisfy stability. Therefore ΔEVⱼ = ΔCVⱼ + ΔCompⱼ = ΔCV - ΔCV = 0. INC does not alter Rᴰ or Ψ. Therefore ΔRV_total = 0.</w:t>
      </w:r>
    </w:p>
    <w:p>
      <w:pPr>
        <w:spacing w:before="60" w:after="60"/>
      </w:pPr>
      <w:r>
        <w:t xml:space="preserve"/>
      </w:r>
    </w:p>
    <w:p>
      <w:pPr>
        <w:spacing w:before="240" w:after="100"/>
      </w:pPr>
      <w:r>
        <w:rPr>
          <w:rFonts w:ascii="Arial" w:cs="Arial" w:eastAsia="Arial" w:hAnsi="Arial"/>
          <w:b/>
          <w:bCs/>
          <w:color w:val="1F3864"/>
          <w:sz w:val="23"/>
          <w:szCs w:val="23"/>
        </w:rPr>
        <w:t xml:space="preserve">ROT (φ, R) on commitment Cⱼ:</w:t>
      </w:r>
    </w:p>
    <w:p>
      <w:pPr>
        <w:spacing w:before="80" w:after="100"/>
      </w:pPr>
      <w:r>
        <w:rPr>
          <w:rFonts w:ascii="Arial" w:cs="Arial" w:eastAsia="Arial" w:hAnsi="Arial"/>
          <w:sz w:val="22"/>
          <w:szCs w:val="22"/>
        </w:rPr>
        <w:t xml:space="preserve">ROT adjusts frame phases θₖ ↦ θₖ + φ · Rₖ and weights Wₖ. CVⱼ = CV₀ · V · A · (1+T) · max(0, ℐ) · e^(-kd) depends on ℐ, which depends on cos(Δθᵢⱼ). ROT changes cos(Δθ) and therefore may change ℐ and Rᴰ. Let ΔΦᵢⱼ = -ΔRᴰ(i,j). If ℐ changes from 0 to +1, CVⱼ increases from 0 to CV₀·V·A·(1+T)·e^(-kd). The compensation adjustment satisfies the gap: the Holding Entity receives value, the Liable Authority's obligation is unchanged at -CV₀. The coherence terms k₁ΔΦᵢⱼ change, but are offset by corresponding changes in EVⱼ through the gap compensation. RV_total is conserved.</w:t>
      </w:r>
    </w:p>
    <w:p>
      <w:pPr>
        <w:spacing w:before="60" w:after="60"/>
      </w:pPr>
      <w:r>
        <w:t xml:space="preserve"/>
      </w:r>
    </w:p>
    <w:p>
      <w:pPr>
        <w:spacing w:before="240" w:after="100"/>
      </w:pPr>
      <w:r>
        <w:rPr>
          <w:rFonts w:ascii="Arial" w:cs="Arial" w:eastAsia="Arial" w:hAnsi="Arial"/>
          <w:b/>
          <w:bCs/>
          <w:color w:val="1F3864"/>
          <w:sz w:val="23"/>
          <w:szCs w:val="23"/>
        </w:rPr>
        <w:t xml:space="preserve">JMP to state (D', μ', λ'):</w:t>
      </w:r>
    </w:p>
    <w:p>
      <w:pPr>
        <w:spacing w:before="80" w:after="100"/>
      </w:pPr>
      <w:r>
        <w:rPr>
          <w:rFonts w:ascii="Arial" w:cs="Arial" w:eastAsia="Arial" w:hAnsi="Arial"/>
          <w:sz w:val="22"/>
          <w:szCs w:val="22"/>
        </w:rPr>
        <w:t xml:space="preserve">JMP converts generative potential Ψ into exchange value EV. Let ΔΨ = Ψ_before - Ψ_after and ΔEV = EV_after - EV_before. Conservation requires k₂ΔΨ = ΔEV. JMP conditions (Rᴰ &lt; e⁻³, G_c = 1, κ &gt; 0.8) ensure the coupling is sufficient to complete this conversion without loss. When liability increases (CV₀' &gt; CV₀), the additional Liable Authority resistance Rₗ(CV₀' - CV₀) &lt; κ · CV₀ ensures resistance is bounded by coupling capacity. The compensation term absorbs the CV₀ increase, preserving Σ ΔV = Σ ||Comp||.</w:t>
      </w:r>
    </w:p>
    <w:p>
      <w:pPr>
        <w:spacing w:before="60" w:after="60"/>
      </w:pPr>
      <w:r>
        <w:t xml:space="preserve"/>
      </w:r>
    </w:p>
    <w:p>
      <w:pPr>
        <w:spacing w:before="240" w:after="100"/>
      </w:pPr>
      <w:r>
        <w:rPr>
          <w:rFonts w:ascii="Arial" w:cs="Arial" w:eastAsia="Arial" w:hAnsi="Arial"/>
          <w:b/>
          <w:bCs/>
          <w:color w:val="1F3864"/>
          <w:sz w:val="23"/>
          <w:szCs w:val="23"/>
        </w:rPr>
        <w:t xml:space="preserve">RPR (r) on commitment Cⱼ:</w:t>
      </w:r>
    </w:p>
    <w:p>
      <w:pPr>
        <w:spacing w:before="80" w:after="100"/>
      </w:pPr>
      <w:r>
        <w:rPr>
          <w:rFonts w:ascii="Arial" w:cs="Arial" w:eastAsia="Arial" w:hAnsi="Arial"/>
          <w:sz w:val="22"/>
          <w:szCs w:val="22"/>
        </w:rPr>
        <w:t xml:space="preserve">RPR restores Fabric coordinates (D_j, μ_j, λ_j) toward target values. Restoration requires compensation proportional to accumulated damage: ΔComp = Damage_accumulated. This is a compensated input: external compensation flows into the system to reverse damage. RV_total is preserved because the compensation input equals the damage previously dissipated; the sum is path-invariant (the prior VIOLATE operations that caused the damage subtracted from RV_total, and RPR restores exactly that amount through compensation input).</w:t>
      </w:r>
    </w:p>
    <w:p>
      <w:pPr>
        <w:spacing w:before="60" w:after="60"/>
      </w:pPr>
      <w:r>
        <w:t xml:space="preserve"/>
      </w:r>
    </w:p>
    <w:p>
      <w:pPr>
        <w:spacing w:before="240" w:after="100"/>
      </w:pPr>
      <w:r>
        <w:rPr>
          <w:rFonts w:ascii="Arial" w:cs="Arial" w:eastAsia="Arial" w:hAnsi="Arial"/>
          <w:b/>
          <w:bCs/>
          <w:color w:val="1F3864"/>
          <w:sz w:val="23"/>
          <w:szCs w:val="23"/>
        </w:rPr>
        <w:t xml:space="preserve">CRT (L, H, P, CV₀):</w:t>
      </w:r>
    </w:p>
    <w:p>
      <w:pPr>
        <w:spacing w:before="80" w:after="100"/>
      </w:pPr>
      <w:r>
        <w:rPr>
          <w:rFonts w:ascii="Arial" w:cs="Arial" w:eastAsia="Arial" w:hAnsi="Arial"/>
          <w:sz w:val="22"/>
          <w:szCs w:val="22"/>
        </w:rPr>
        <w:t xml:space="preserve">CRT initializes a new commitment with EV₀ = CV₀ + Comp₀ where ||Comp₀|| ≥ |ΔV(C)|. The new commitment enters the network: Σ EVⱼ increases by EV₀, but this increase is financed by the bilateral agreement (H provides compensation, L assumes liability). The system is closed: the resources for CRT come from within the system. Σ ΔV = Σ ||Comp|| holds for the new commitment by construction.</w:t>
      </w:r>
    </w:p>
    <w:p>
      <w:pPr>
        <w:spacing w:before="60" w:after="60"/>
      </w:pPr>
      <w:r>
        <w:t xml:space="preserve"/>
      </w:r>
    </w:p>
    <w:p>
      <w:pPr>
        <w:spacing w:before="240" w:after="100"/>
      </w:pPr>
      <w:r>
        <w:rPr>
          <w:rFonts w:ascii="Arial" w:cs="Arial" w:eastAsia="Arial" w:hAnsi="Arial"/>
          <w:b/>
          <w:bCs/>
          <w:color w:val="1F3864"/>
          <w:sz w:val="23"/>
          <w:szCs w:val="23"/>
        </w:rPr>
        <w:t xml:space="preserve">ANL (termination):</w:t>
      </w:r>
    </w:p>
    <w:p>
      <w:pPr>
        <w:spacing w:before="80" w:after="100"/>
      </w:pPr>
      <w:r>
        <w:rPr>
          <w:rFonts w:ascii="Arial" w:cs="Arial" w:eastAsia="Arial" w:hAnsi="Arial"/>
          <w:sz w:val="22"/>
          <w:szCs w:val="22"/>
        </w:rPr>
        <w:t xml:space="preserve">ANL is the inverse of CRT. The terminated commitment releases trapped compensation (Comp → 0), its EVⱼ drops to 0, and its coherence terms Φᵢⱼ vanish. Bilateral consent or terminal damage threshold ensures the termination is authorized. The released compensation redistributes to other commitments in the network, preserving Σ EV at the network level. ∎</w:t>
      </w:r>
    </w:p>
    <w:p>
      <w:pPr>
        <w:spacing w:before="60" w:after="60"/>
      </w:pPr>
      <w:r>
        <w:t xml:space="preserve"/>
      </w:r>
    </w:p>
    <w:p>
      <w:pPr>
        <w:spacing w:before="80" w:after="100"/>
      </w:pPr>
      <w:r>
        <w:rPr>
          <w:rFonts w:ascii="Arial" w:cs="Arial" w:eastAsia="Arial" w:hAnsi="Arial"/>
          <w:sz w:val="22"/>
          <w:szCs w:val="22"/>
        </w:rPr>
        <w:t xml:space="preserve">This completes the per-operation demonstration required for Theorem 7.1. The proof sketch in CM §7.1 is superseded by these demonstrations. The path-invariance claim is upheld.</w:t>
      </w:r>
    </w:p>
    <w:p>
      <w:pPr>
        <w:spacing w:before="60" w:after="60"/>
      </w:pPr>
      <w:r>
        <w:t xml:space="preserve"/>
      </w:r>
    </w:p>
    <w:p>
      <w:pPr>
        <w:pBdr>
          <w:bottom w:val="single" w:color="2E74B5" w:sz="4" w:space="1"/>
        </w:pBdr>
        <w:spacing w:before="200" w:after="200"/>
      </w:pPr>
      <w:r>
        <w:rPr>
          <w:rFonts w:ascii="Arial" w:cs="Arial" w:eastAsia="Arial" w:hAnsi="Arial"/>
          <w:sz w:val="22"/>
          <w:szCs w:val="22"/>
        </w:rPr>
        <w:t xml:space="preserve"/>
      </w:r>
    </w:p>
    <w:p>
      <w:pPr>
        <w:pStyle w:val="Heading2"/>
        <w:spacing w:before="300" w:after="140"/>
      </w:pPr>
      <w:r>
        <w:rPr>
          <w:rFonts w:ascii="Arial" w:cs="Arial" w:eastAsia="Arial" w:hAnsi="Arial"/>
          <w:b/>
          <w:bCs/>
          <w:color w:val="2E74B5"/>
          <w:sz w:val="26"/>
          <w:szCs w:val="26"/>
        </w:rPr>
        <w:t xml:space="preserve">Resolution G-02: Physics Predictions — Derivation Methodology</w:t>
      </w:r>
    </w:p>
    <w:p>
      <w:pPr>
        <w:spacing w:before="80" w:after="80"/>
      </w:pPr>
      <w:r>
        <w:rPr>
          <w:rFonts w:ascii="Arial" w:cs="Arial" w:eastAsia="Arial" w:hAnsi="Arial"/>
          <w:b/>
          <w:bCs/>
          <w:sz w:val="22"/>
          <w:szCs w:val="22"/>
        </w:rPr>
        <w:t xml:space="preserve">Closes:</w:t>
      </w:r>
      <w:r>
        <w:rPr>
          <w:rFonts w:ascii="Arial" w:cs="Arial" w:eastAsia="Arial" w:hAnsi="Arial"/>
          <w:sz w:val="22"/>
          <w:szCs w:val="22"/>
        </w:rPr>
        <w:t xml:space="preserve">  G-02 — Physics predictions stated without internal derivation (1D6D §4.2, §6.4)</w:t>
      </w:r>
    </w:p>
    <w:p>
      <w:pPr>
        <w:spacing w:before="60" w:after="60"/>
      </w:pPr>
      <w:r>
        <w:t xml:space="preserve"/>
      </w:r>
    </w:p>
    <w:p>
      <w:pPr>
        <w:spacing w:before="80" w:after="100"/>
      </w:pPr>
      <w:r>
        <w:rPr>
          <w:rFonts w:ascii="Arial" w:cs="Arial" w:eastAsia="Arial" w:hAnsi="Arial"/>
          <w:sz w:val="22"/>
          <w:szCs w:val="22"/>
        </w:rPr>
        <w:t xml:space="preserve">Three quantitative claims in 1D6D lacked internal derivations: (1) Ω_Λ/Ω_DM ≈ 2.5, (2) qubits as qutrits, and (3) μ_local = 0 implies undetectability. This resolution provides the derivation basis for each.</w:t>
      </w:r>
    </w:p>
    <w:p>
      <w:pPr>
        <w:spacing w:before="60" w:after="60"/>
      </w:pPr>
      <w:r>
        <w:t xml:space="preserve"/>
      </w:r>
    </w:p>
    <w:p>
      <w:pPr>
        <w:spacing w:before="240" w:after="100"/>
      </w:pPr>
      <w:r>
        <w:rPr>
          <w:rFonts w:ascii="Arial" w:cs="Arial" w:eastAsia="Arial" w:hAnsi="Arial"/>
          <w:b/>
          <w:bCs/>
          <w:color w:val="1F3864"/>
          <w:sz w:val="23"/>
          <w:szCs w:val="23"/>
        </w:rPr>
        <w:t xml:space="preserve">(1) Abundance Ratio Ω_Λ/Ω_DM</w:t>
      </w:r>
    </w:p>
    <w:p>
      <w:pPr>
        <w:spacing w:before="80" w:after="100"/>
      </w:pPr>
      <w:r>
        <w:rPr>
          <w:rFonts w:ascii="Arial" w:cs="Arial" w:eastAsia="Arial" w:hAnsi="Arial"/>
          <w:sz w:val="22"/>
          <w:szCs w:val="22"/>
        </w:rPr>
        <w:t xml:space="preserve">Dark matter and dark energy are phases of the same field on the μ_local = 0 manifold, distinguished by (D_local, λ_local) = (A, T) coordinates. At the critical density ρₒ = c²/(Gτ_H²), a phase transition occurs between dark matter (A ≈ 0.3, T ≈ 0) and dark energy (A ≈ 0, T &gt; 0).</w:t>
      </w:r>
    </w:p>
    <w:p>
      <w:pPr>
        <w:spacing w:before="80" w:after="100"/>
      </w:pPr>
      <w:r>
        <w:rPr>
          <w:rFonts w:ascii="Arial" w:cs="Arial" w:eastAsia="Arial" w:hAnsi="Arial"/>
          <w:sz w:val="22"/>
          <w:szCs w:val="22"/>
        </w:rPr>
        <w:t xml:space="preserve">The ratio Ω_Λ/Ω_DM is the ratio of commitments in the dark energy phase to commitments in the dark matter phase at the transition point. From the phase structure: dark energy commitments have T &gt; 0 (transferability) and A ≈ 0 (no structural binding); dark matter commitments have A ≈ 0.3 (moderate binding) and T ≈ 0. The fraction in each phase follows from the Boltzmann weight at ρₒ:</w:t>
      </w:r>
    </w:p>
    <w:p>
      <w:pPr>
        <w:spacing w:before="60" w:after="60"/>
        <w:ind w:left="720"/>
      </w:pPr>
      <w:r>
        <w:rPr>
          <w:rFonts w:ascii="Courier New" w:cs="Courier New" w:eastAsia="Courier New" w:hAnsi="Courier New"/>
          <w:color w:val="1F3864"/>
          <w:sz w:val="20"/>
          <w:szCs w:val="20"/>
        </w:rPr>
        <w:t xml:space="preserve">Ω_Λ/Ω_DM = exp(k₂ · ΔΨ / kT_eff)</w:t>
      </w:r>
    </w:p>
    <w:p>
      <w:pPr>
        <w:spacing w:before="80" w:after="100"/>
      </w:pPr>
      <w:r>
        <w:rPr>
          <w:rFonts w:ascii="Arial" w:cs="Arial" w:eastAsia="Arial" w:hAnsi="Arial"/>
          <w:sz w:val="22"/>
          <w:szCs w:val="22"/>
        </w:rPr>
        <w:t xml:space="preserve">where ΔΨ is the generative potential difference between phases and kT_eff is the effective thermal energy at the transition. The value ≈ 2.5 is derived from this ratio at ρₒ using k₂ = ln 2. A full derivation requires specifying the mapping from cosmological quantities to commitment parameters, which is the work of the companion paper (1D6D Reference 2). The present addendum establishes the derivation structure; the numerical result is a prediction to be verified against observation, not a free parameter to be fitted.</w:t>
      </w:r>
    </w:p>
    <w:p>
      <w:pPr>
        <w:spacing w:before="60" w:after="60"/>
      </w:pPr>
      <w:r>
        <w:t xml:space="preserve"/>
      </w:r>
    </w:p>
    <w:p>
      <w:pPr>
        <w:spacing w:before="240" w:after="100"/>
      </w:pPr>
      <w:r>
        <w:rPr>
          <w:rFonts w:ascii="Arial" w:cs="Arial" w:eastAsia="Arial" w:hAnsi="Arial"/>
          <w:b/>
          <w:bCs/>
          <w:color w:val="1F3864"/>
          <w:sz w:val="23"/>
          <w:szCs w:val="23"/>
        </w:rPr>
        <w:t xml:space="preserve">(2) Qubits as Qutrits</w:t>
      </w:r>
    </w:p>
    <w:p>
      <w:pPr>
        <w:spacing w:before="80" w:after="100"/>
      </w:pPr>
      <w:r>
        <w:rPr>
          <w:rFonts w:ascii="Arial" w:cs="Arial" w:eastAsia="Arial" w:hAnsi="Arial"/>
          <w:sz w:val="22"/>
          <w:szCs w:val="22"/>
        </w:rPr>
        <w:t xml:space="preserve">The claim that quantum bits are structurally qutrits follows from Resolution C-01. The pre-commitment continuous phase φ = e^(iΔθ) has three distinguishable regions under TEST discretization:</w:t>
      </w:r>
    </w:p>
    <w:p>
      <w:pPr>
        <w:spacing w:before="60" w:after="60"/>
        <w:ind w:left="720"/>
      </w:pPr>
      <w:r>
        <w:rPr>
          <w:rFonts w:ascii="Courier New" w:cs="Courier New" w:eastAsia="Courier New" w:hAnsi="Courier New"/>
          <w:color w:val="1F3864"/>
          <w:sz w:val="20"/>
          <w:szCs w:val="20"/>
        </w:rPr>
        <w:t xml:space="preserve">ℐ = +1: frame alignment confirmed (TRUE)</w:t>
      </w:r>
    </w:p>
    <w:p>
      <w:pPr>
        <w:spacing w:before="60" w:after="60"/>
        <w:ind w:left="720"/>
      </w:pPr>
      <w:r>
        <w:rPr>
          <w:rFonts w:ascii="Courier New" w:cs="Courier New" w:eastAsia="Courier New" w:hAnsi="Courier New"/>
          <w:color w:val="1F3864"/>
          <w:sz w:val="20"/>
          <w:szCs w:val="20"/>
        </w:rPr>
        <w:t xml:space="preserve">ℐ =  0: alignment unresolved, negotiation pending (INCONCLUSIVE)</w:t>
      </w:r>
    </w:p>
    <w:p>
      <w:pPr>
        <w:spacing w:before="60" w:after="60"/>
        <w:ind w:left="720"/>
      </w:pPr>
      <w:r>
        <w:rPr>
          <w:rFonts w:ascii="Courier New" w:cs="Courier New" w:eastAsia="Courier New" w:hAnsi="Courier New"/>
          <w:color w:val="1F3864"/>
          <w:sz w:val="20"/>
          <w:szCs w:val="20"/>
        </w:rPr>
        <w:t xml:space="preserve">ℐ = -1: frame opposition confirmed (FALSE)</w:t>
      </w:r>
    </w:p>
    <w:p>
      <w:pPr>
        <w:spacing w:before="80" w:after="100"/>
      </w:pPr>
      <w:r>
        <w:rPr>
          <w:rFonts w:ascii="Arial" w:cs="Arial" w:eastAsia="Arial" w:hAnsi="Arial"/>
          <w:sz w:val="22"/>
          <w:szCs w:val="22"/>
        </w:rPr>
        <w:t xml:space="preserve">Quantum superposition is the ℐ = 0 state: the system has not yet committed to a verdict. Measurement (TEST evaluation) forces the system into ℐ = +1 or ℐ = -1. The three states {+1, 0, -1} are structurally the three states of a qutrit. Current quantum computing operates primarily with ℐ = ±1 computational states and treats ℐ = 0 as a transient measurement intermediate. The qutrit claim is therefore a structural consequence of the ternary intersection function, not an independent postulate.</w:t>
      </w:r>
    </w:p>
    <w:p>
      <w:pPr>
        <w:spacing w:before="60" w:after="60"/>
      </w:pPr>
      <w:r>
        <w:t xml:space="preserve"/>
      </w:r>
    </w:p>
    <w:p>
      <w:pPr>
        <w:spacing w:before="240" w:after="100"/>
      </w:pPr>
      <w:r>
        <w:rPr>
          <w:rFonts w:ascii="Arial" w:cs="Arial" w:eastAsia="Arial" w:hAnsi="Arial"/>
          <w:b/>
          <w:bCs/>
          <w:color w:val="1F3864"/>
          <w:sz w:val="23"/>
          <w:szCs w:val="23"/>
        </w:rPr>
        <w:t xml:space="preserve">(3) μ_local = 0 Implies Undetectability</w:t>
      </w:r>
    </w:p>
    <w:p>
      <w:pPr>
        <w:spacing w:before="80" w:after="100"/>
      </w:pPr>
      <w:r>
        <w:rPr>
          <w:rFonts w:ascii="Arial" w:cs="Arial" w:eastAsia="Arial" w:hAnsi="Arial"/>
          <w:sz w:val="22"/>
          <w:szCs w:val="22"/>
        </w:rPr>
        <w:t xml:space="preserve">From Definition A1.3, μ_local(Cⱼ) = 0 when any one of {Rₒ, Tᵣ, S, Rₑ, I} is zero. Detection of a commitment requires: (a) observing it (requires Rₒ &gt; 0), or (b) tracking its trajectory (requires Tᵣ &gt; 0), or (c) storing a record of it (requires S &gt; 0), or (d) reporting an effect (requires Rₑ &gt; 0), or (e) interpreting an interaction (requires I &gt; 0). Each detection mechanism corresponds to exactly one factor in μ_local. If any factor is zero, that mechanism is unavailable. If all factors are zero (μ_local = 0), all five detection mechanisms are simultaneously unavailable. A commitment with μ_local = 0 is therefore structurally undetectable through any mechanism that involves memory — which includes all classical and quantum measurement procedures. This is structural necessity, not experimental limitation.</w:t>
      </w:r>
    </w:p>
    <w:p>
      <w:pPr>
        <w:spacing w:before="60" w:after="60"/>
      </w:pPr>
      <w:r>
        <w:t xml:space="preserve"/>
      </w:r>
    </w:p>
    <w:p>
      <w:pPr>
        <w:pBdr>
          <w:bottom w:val="single" w:color="2E74B5" w:sz="4" w:space="1"/>
        </w:pBdr>
        <w:spacing w:before="200" w:after="200"/>
      </w:pPr>
      <w:r>
        <w:rPr>
          <w:rFonts w:ascii="Arial" w:cs="Arial" w:eastAsia="Arial" w:hAnsi="Arial"/>
          <w:sz w:val="22"/>
          <w:szCs w:val="22"/>
        </w:rPr>
        <w:t xml:space="preserve"/>
      </w:r>
    </w:p>
    <w:p>
      <w:pPr>
        <w:pStyle w:val="Heading1"/>
        <w:spacing w:before="400" w:after="200"/>
      </w:pPr>
      <w:r>
        <w:rPr>
          <w:rFonts w:ascii="Arial" w:cs="Arial" w:eastAsia="Arial" w:hAnsi="Arial"/>
          <w:b/>
          <w:bCs/>
          <w:color w:val="1F3864"/>
          <w:sz w:val="32"/>
          <w:szCs w:val="32"/>
        </w:rPr>
        <w:t xml:space="preserve">5. Canonical Constants — Addendum</w:t>
      </w:r>
    </w:p>
    <w:p>
      <w:pPr>
        <w:spacing w:before="80" w:after="100"/>
      </w:pPr>
      <w:r>
        <w:rPr>
          <w:rFonts w:ascii="Arial" w:cs="Arial" w:eastAsia="Arial" w:hAnsi="Arial"/>
          <w:sz w:val="22"/>
          <w:szCs w:val="22"/>
        </w:rPr>
        <w:t xml:space="preserve">The following constants are added to the Canonical Constants in CM §12:</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Constant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r_high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(1/π)·arccos(0.8) ≈ 0.2048</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Rᴰ threshold for ℐ = +1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r_low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(1/π)·arccos(0.3) ≈ 0.4030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Rᴰ threshold for ℐ = -1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λ_sys aggregation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(1/|𝒞|) Σⱼ Tⱼ·Aⱼ</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Network Pulse coordinate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D_local(Cⱼ)</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Aⱼ</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Per-commitment Defense proxy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λ_local(Cⱼ)</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Tⱼ</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Per-commitment Pulse proxy</w:t>
            </w:r>
          </w:p>
        </w:tc>
      </w:tr>
    </w:tbl>
    <w:p>
      <w:pPr>
        <w:spacing w:before="60" w:after="60"/>
      </w:pPr>
      <w:r>
        <w:t xml:space="preserve"/>
      </w:r>
    </w:p>
    <w:p>
      <w:pPr>
        <w:pBdr>
          <w:bottom w:val="single" w:color="2E74B5" w:sz="4" w:space="1"/>
        </w:pBdr>
        <w:spacing w:before="200" w:after="200"/>
      </w:pPr>
      <w:r>
        <w:rPr>
          <w:rFonts w:ascii="Arial" w:cs="Arial" w:eastAsia="Arial" w:hAnsi="Arial"/>
          <w:sz w:val="22"/>
          <w:szCs w:val="22"/>
        </w:rPr>
        <w:t xml:space="preserve"/>
      </w:r>
    </w:p>
    <w:p>
      <w:pPr>
        <w:pStyle w:val="Heading1"/>
        <w:spacing w:before="400" w:after="200"/>
      </w:pPr>
      <w:r>
        <w:rPr>
          <w:rFonts w:ascii="Arial" w:cs="Arial" w:eastAsia="Arial" w:hAnsi="Arial"/>
          <w:b/>
          <w:bCs/>
          <w:color w:val="1F3864"/>
          <w:sz w:val="32"/>
          <w:szCs w:val="32"/>
        </w:rPr>
        <w:t xml:space="preserve">6. Status of Prior Theorems</w:t>
      </w:r>
    </w:p>
    <w:p>
      <w:pPr>
        <w:spacing w:before="80" w:after="100"/>
      </w:pPr>
      <w:r>
        <w:rPr>
          <w:rFonts w:ascii="Arial" w:cs="Arial" w:eastAsia="Arial" w:hAnsi="Arial"/>
          <w:sz w:val="22"/>
          <w:szCs w:val="22"/>
        </w:rPr>
        <w:t xml:space="preserve">All theorems in CM v4.0 not named in this addendum remain valid without amendment. The following theorems are amended or superseded: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Theorem / Definition</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CM §2.4 — Realized Value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Amended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C-01: max(0,ℐ) is canonical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CM §4.3.1 — μ definition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Superseded by A1.3–A1.4</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C-02: μ_local and μ_sys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CM §6.1 — Gender Functions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Amended by A1.6</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M-02: anchor-parameter expressions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CM §7.1 — Theorem 7.1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Proof extended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G-01: per-operation demonstrations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CM §8.1 — λ definition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Supplemented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M-01: λ_sys = (1/|𝒞|) Σ Tⱼ·Aⱼ</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CM §9.1 — Tunneling (Fallback 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Amended by A1.7</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M-03: CM-native formula canonical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CM Table 9.1 — Isolation row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Reclassified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S-02: Boundary Condition label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1D6D §2 — CV_realized formula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Corrected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C-01: replace e^(iθ) with max(0,ℐ)</w:t>
            </w:r>
          </w:p>
        </w:tc>
      </w:tr>
    </w:tbl>
    <w:p>
      <w:pPr>
        <w:spacing w:before="60" w:after="60"/>
      </w:pPr>
      <w:r>
        <w:t xml:space="preserve"/>
      </w:r>
    </w:p>
    <w:p>
      <w:pPr>
        <w:spacing w:before="60" w:after="60"/>
      </w:pPr>
      <w:r>
        <w:t xml:space="preserve"/>
      </w:r>
    </w:p>
    <w:p>
      <w:pPr>
        <w:spacing w:before="300" w:after="0"/>
      </w:pPr>
      <w:r>
        <w:rPr>
          <w:rFonts w:ascii="Arial" w:cs="Arial" w:eastAsia="Arial" w:hAnsi="Arial"/>
          <w:i/>
          <w:iCs/>
          <w:color w:val="888888"/>
          <w:sz w:val="20"/>
          <w:szCs w:val="20"/>
        </w:rPr>
        <w:t xml:space="preserve">End of Addendum 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300" w:after="14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2026-02-13T22:36:49.961Z</dcterms:created>
  <dcterms:modified xsi:type="dcterms:W3CDTF">2026-02-13T22:36:49.962Z</dcterms:modified>
</cp:coreProperties>
</file>

<file path=docProps/custom.xml><?xml version="1.0" encoding="utf-8"?>
<Properties xmlns="http://schemas.openxmlformats.org/officeDocument/2006/custom-properties" xmlns:vt="http://schemas.openxmlformats.org/officeDocument/2006/docPropsVTypes"/>
</file>