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60"/>
      </w:pPr>
      <w:r>
        <w:rPr>
          <w:rFonts w:ascii="Arial" w:cs="Arial" w:eastAsia="Arial" w:hAnsi="Arial"/>
          <w:b/>
          <w:bCs/>
          <w:color w:val="1F3864"/>
          <w:sz w:val="52"/>
          <w:szCs w:val="52"/>
        </w:rPr>
        <w:t xml:space="preserve">A Taxonomy of</w:t>
      </w:r>
    </w:p>
    <w:p>
      <w:pPr>
        <w:spacing w:before="0" w:after="60"/>
      </w:pPr>
      <w:r>
        <w:rPr>
          <w:rFonts w:ascii="Arial" w:cs="Arial" w:eastAsia="Arial" w:hAnsi="Arial"/>
          <w:b/>
          <w:bCs/>
          <w:color w:val="2E75B6"/>
          <w:sz w:val="40"/>
          <w:szCs w:val="40"/>
        </w:rPr>
        <w:t xml:space="preserve">Civilizational Collapse and Market Crashes</w:t>
      </w:r>
    </w:p>
    <w:p>
      <w:pPr>
        <w:pBdr>
          <w:bottom w:val="single" w:color="2E75B6" w:sz="6" w:space="8"/>
        </w:pBdr>
        <w:spacing w:before="0" w:after="60"/>
      </w:pPr>
      <w:r>
        <w:rPr>
          <w:rFonts w:ascii="Arial" w:cs="Arial" w:eastAsia="Arial" w:hAnsi="Arial"/>
          <w:color w:val="444444"/>
          <w:sz w:val="24"/>
          <w:szCs w:val="24"/>
        </w:rPr>
        <w:t xml:space="preserve">A Commitment Mathematics Analysis</w:t>
      </w:r>
    </w:p>
    <w:p>
      <w:pPr>
        <w:spacing w:before="120"/>
      </w:pPr>
    </w:p>
    <w:p>
      <w:pPr>
        <w:spacing w:before="0" w:after="60"/>
      </w:pPr>
      <w:r>
        <w:rPr>
          <w:rFonts w:ascii="Arial" w:cs="Arial" w:eastAsia="Arial" w:hAnsi="Arial"/>
          <w:b/>
          <w:bCs/>
          <w:sz w:val="20"/>
          <w:szCs w:val="20"/>
        </w:rPr>
        <w:t xml:space="preserve">Author: </w:t>
      </w:r>
      <w:r>
        <w:rPr>
          <w:rFonts w:ascii="Arial" w:cs="Arial" w:eastAsia="Arial" w:hAnsi="Arial"/>
          <w:color w:val="1A1A1A"/>
          <w:sz w:val="20"/>
          <w:szCs w:val="20"/>
        </w:rPr>
        <w:t xml:space="preserve">Otto Beseka Isong  |  Genie Capital Ltd  |  </w:t>
      </w:r>
      <w:r>
        <w:rPr>
          <w:rFonts w:ascii="Arial" w:cs="Arial" w:eastAsia="Arial" w:hAnsi="Arial"/>
          <w:b/>
          <w:bCs/>
          <w:sz w:val="20"/>
          <w:szCs w:val="20"/>
        </w:rPr>
        <w:t xml:space="preserve">Framework: </w:t>
      </w:r>
      <w:r>
        <w:rPr>
          <w:rFonts w:ascii="Arial" w:cs="Arial" w:eastAsia="Arial" w:hAnsi="Arial"/>
          <w:color w:val="1A1A1A"/>
          <w:sz w:val="20"/>
          <w:szCs w:val="20"/>
        </w:rPr>
        <w:t xml:space="preserve">CM v4.0 + 23 Laws + Addenda + Law 13 v2.0</w:t>
      </w:r>
    </w:p>
    <w:p>
      <w:pPr>
        <w:spacing w:before="300"/>
      </w:pPr>
    </w:p>
    <w:p>
      <w:pPr>
        <w:pStyle w:val="Heading1"/>
        <w:pBdr>
          <w:bottom w:val="single" w:color="2E75B6" w:sz="4" w:space="6"/>
        </w:pBdr>
        <w:spacing w:before="400" w:after="120"/>
      </w:pPr>
      <w:r>
        <w:rPr>
          <w:rFonts w:ascii="Arial" w:cs="Arial" w:eastAsia="Arial" w:hAnsi="Arial"/>
          <w:b/>
          <w:bCs/>
          <w:color w:val="1F3864"/>
          <w:sz w:val="30"/>
          <w:szCs w:val="30"/>
        </w:rPr>
        <w:t xml:space="preserve">The Basis for a Formal Taxonomy</w:t>
      </w:r>
    </w:p>
    <w:p>
      <w:pPr>
        <w:spacing w:before="60" w:after="100"/>
      </w:pPr>
      <w:r>
        <w:rPr>
          <w:rFonts w:ascii="Arial" w:cs="Arial" w:eastAsia="Arial" w:hAnsi="Arial"/>
          <w:color w:val="1A1A1A"/>
          <w:sz w:val="21"/>
          <w:szCs w:val="21"/>
        </w:rPr>
        <w:t xml:space="preserve">Every prior taxonomy of collapse is descriptive. It catalogues what happened: military defeat, fiscal overextension, climate shock, elite fragmentation, plague. These are observations, not structural explanations. They answer what collapsed, not why collapse is possible at all and what determines its form, velocity, and reversibility.</w:t>
      </w:r>
    </w:p>
    <w:p>
      <w:pPr>
        <w:spacing w:before="60"/>
      </w:pPr>
    </w:p>
    <w:p>
      <w:pPr>
        <w:spacing w:before="60" w:after="100"/>
      </w:pPr>
      <w:r>
        <w:rPr>
          <w:rFonts w:ascii="Arial" w:cs="Arial" w:eastAsia="Arial" w:hAnsi="Arial"/>
          <w:color w:val="1A1A1A"/>
          <w:sz w:val="21"/>
          <w:szCs w:val="21"/>
        </w:rPr>
        <w:t xml:space="preserve">Commitment Mathematics provides the first formally grounded basis for a collapse taxonomy because it specifies the complete state space of relational systems. Every relational system — a market, an empire, a firm, a civilization — exists in the Fabric space F = [0,1]³ with coordinates (D, μ, λ): Defense (structural coherence), Memory (content fidelity), and Pulse (dynamical excitation). The eight vertices of this cube are the only pure states. All collapses are trajectories through this space toward unstable or null configurations.</w:t>
      </w:r>
    </w:p>
    <w:p>
      <w:pPr>
        <w:spacing w:before="60"/>
      </w:pPr>
    </w:p>
    <w:p>
      <w:pPr>
        <w:spacing w:before="60" w:after="100"/>
      </w:pPr>
      <w:r>
        <w:rPr>
          <w:rFonts w:ascii="Arial" w:cs="Arial" w:eastAsia="Arial" w:hAnsi="Arial"/>
          <w:color w:val="1A1A1A"/>
          <w:sz w:val="21"/>
          <w:szCs w:val="21"/>
        </w:rPr>
        <w:t xml:space="preserve">The framework specifies: which primitives must be maintained for the system to persist; which operations are permitted at which relational distances; what failure looks like when operations are forced outside permitted domains; and what determines whether a degraded system can repair itself or must be replaced. From these specifications, a taxonomy follows with formal necessity rather than empirical generalization.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Central Claim</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Collapse is not an event. It is a trajectory through Fabric space. The type of collapse is determined by which coordinate is the primary attack vector. The velocity is determined by whether Governance control primitives are functional. The reversibility is determined entirely by whether μ is preserved above μ_critical = 1/(2e) ≈ 0.184 when the trajectory begins.</w:t>
            </w:r>
          </w:p>
        </w:tc>
      </w:tr>
    </w:tbl>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The Collapse Map: Fabric Space and Its Attractors</w:t>
      </w:r>
    </w:p>
    <w:p>
      <w:pPr>
        <w:spacing w:before="60" w:after="100"/>
      </w:pPr>
      <w:r>
        <w:rPr>
          <w:rFonts w:ascii="Arial" w:cs="Arial" w:eastAsia="Arial" w:hAnsi="Arial"/>
          <w:color w:val="1A1A1A"/>
          <w:sz w:val="21"/>
          <w:szCs w:val="21"/>
        </w:rPr>
        <w:t xml:space="preserve">The Fabric F = [0,1]³ contains eight vertices representing pure states. Of these, only one is permanently stable: Defensive Memory (D=1, μ=1, λ=0). All other vertices are unstable attractors — systems may pass through them but cannot remain there indefinitely. Collapse is the trajectory away from the interior of the cube toward unstable vertices or toward the Null state (0,0,0).</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Vertex</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Coordinates (D,μ,λ)</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Stability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Character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(0, 0, 0)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Void. Pre-creation or post-annihilation. No system exists.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Pure Pulse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(0, 0, 1)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excitation with no structure or memory. Chaos.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Pure 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(0, 1, 0)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Perfect fidelity with no protection. Information without resilience.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Pure Defense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(1, 0, 0)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coherence with no content. Structure protecting nothing.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Pulsive 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(0, 1, 1)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Active information exposed to disruption. Vulnerable to VIOLATE.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Defensive Pulse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(1, 0, 1)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Energetic fortress with no memory. Excitation degrades structure.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19"/>
                <w:szCs w:val="19"/>
              </w:rPr>
              <w:t xml:space="preserve">Defensive Memory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19"/>
                <w:szCs w:val="19"/>
              </w:rPr>
              <w:t xml:space="preserve">(1, 1, 0)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19"/>
                <w:szCs w:val="19"/>
              </w:rPr>
              <w:t xml:space="preserve">STABLE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4620"/>
                <w:sz w:val="19"/>
                <w:szCs w:val="19"/>
              </w:rPr>
              <w:t xml:space="preserve">Maximum coherence and fidelity. The only sustainable equilibrium.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(1, 1, 1)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0000"/>
                <w:sz w:val="19"/>
                <w:szCs w:val="19"/>
              </w:rPr>
              <w:t xml:space="preserve">Unstable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Peak generative capacity but inherently unsustainable. High λ drives collapse.</w:t>
            </w:r>
          </w:p>
        </w:tc>
      </w:tr>
    </w:tbl>
    <w:p>
      <w:pPr>
        <w:spacing w:before="120"/>
      </w:pPr>
    </w:p>
    <w:p>
      <w:pPr>
        <w:spacing w:before="60" w:after="100"/>
      </w:pPr>
      <w:r>
        <w:rPr>
          <w:rFonts w:ascii="Arial" w:cs="Arial" w:eastAsia="Arial" w:hAnsi="Arial"/>
          <w:color w:val="1A1A1A"/>
          <w:sz w:val="21"/>
          <w:szCs w:val="21"/>
        </w:rPr>
        <w:t xml:space="preserve">The Generative Potential formula quantifies sustainable capacity at each state:</w:t>
      </w:r>
    </w:p>
    <w:p>
      <w:pPr>
        <w:shd w:fill="F5F5F5" w:val="clear"/>
        <w:spacing w:before="120" w:after="120"/>
        <w:ind w:left="720" w:right="720"/>
        <w:jc w:val="center"/>
      </w:pPr>
      <w:r>
        <w:rPr>
          <w:rFonts w:ascii="Courier New" w:cs="Courier New" w:eastAsia="Courier New" w:hAnsi="Courier New"/>
          <w:b/>
          <w:bCs/>
          <w:color w:val="1F3864"/>
          <w:sz w:val="20"/>
          <w:szCs w:val="20"/>
        </w:rPr>
        <w:t xml:space="preserve">Gen(S) = G · μ · D / (1 + λ)</w:t>
      </w:r>
    </w:p>
    <w:p>
      <w:pPr>
        <w:spacing w:before="60" w:after="100"/>
      </w:pPr>
      <w:r>
        <w:rPr>
          <w:rFonts w:ascii="Arial" w:cs="Arial" w:eastAsia="Arial" w:hAnsi="Arial"/>
          <w:color w:val="1A1A1A"/>
          <w:sz w:val="21"/>
          <w:szCs w:val="21"/>
        </w:rPr>
        <w:t xml:space="preserve">Gen &gt; 1 is necessary for sustainable growth (Theorem 8.1). When Gen falls below 1, the system is contracting faster than it can regenerate. This is the formal definition of civilizational decline — independent of any particular historical event.</w:t>
      </w:r>
    </w:p>
    <w:p>
      <w:pPr>
        <w:spacing w:before="60"/>
      </w:pPr>
    </w:p>
    <w:p>
      <w:pPr>
        <w:spacing w:before="60" w:after="100"/>
      </w:pPr>
      <w:r>
        <w:rPr>
          <w:rFonts w:ascii="Arial" w:cs="Arial" w:eastAsia="Arial" w:hAnsi="Arial"/>
          <w:color w:val="1A1A1A"/>
          <w:sz w:val="21"/>
          <w:szCs w:val="21"/>
        </w:rPr>
        <w:t xml:space="preserve">The Explosivity diagnostic captures the ratio of reactive to generative stock:</w:t>
      </w:r>
    </w:p>
    <w:p>
      <w:pPr>
        <w:shd w:fill="F5F5F5" w:val="clear"/>
        <w:spacing w:before="120" w:after="120"/>
        <w:ind w:left="720" w:right="720"/>
        <w:jc w:val="center"/>
      </w:pPr>
      <w:r>
        <w:rPr>
          <w:rFonts w:ascii="Courier New" w:cs="Courier New" w:eastAsia="Courier New" w:hAnsi="Courier New"/>
          <w:b/>
          <w:bCs/>
          <w:color w:val="1F3864"/>
          <w:sz w:val="20"/>
          <w:szCs w:val="20"/>
        </w:rPr>
        <w:t xml:space="preserve">E = RS / GS = (DO/GO) × (1+λ)² × (1/D²) × (1/μ²)</w:t>
      </w:r>
    </w:p>
    <w:p>
      <w:pPr>
        <w:spacing w:before="60" w:after="100"/>
      </w:pPr>
      <w:r>
        <w:rPr>
          <w:rFonts w:ascii="Arial" w:cs="Arial" w:eastAsia="Arial" w:hAnsi="Arial"/>
          <w:color w:val="1A1A1A"/>
          <w:sz w:val="21"/>
          <w:szCs w:val="21"/>
        </w:rPr>
        <w:t xml:space="preserve">E ≤ 1/e³ ≈ 0.050 is the stable operating range. E &gt; 1 means reactive commitments dominate generative ones. Current major economies operate at E ≈ 28 — well inside the explosive regime. Collapse becomes not a risk but a structural certainty once E crosses a critical threshold and the correction cannot be managed faster than the cascade propagates.</w:t>
      </w:r>
    </w:p>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Primary Taxonomy: Seven Collapse Types</w:t>
      </w:r>
    </w:p>
    <w:p>
      <w:pPr>
        <w:spacing w:before="60" w:after="100"/>
      </w:pPr>
      <w:r>
        <w:rPr>
          <w:rFonts w:ascii="Arial" w:cs="Arial" w:eastAsia="Arial" w:hAnsi="Arial"/>
          <w:color w:val="1A1A1A"/>
          <w:sz w:val="21"/>
          <w:szCs w:val="21"/>
        </w:rPr>
        <w:t xml:space="preserve">The taxonomy is organized by which Fabric coordinate or structural feature is the primary attack vector. In practice, advanced collapses are compound — multiple types operating simultaneously and reinforcing each other. But the primary type determines the trajectory, and different types require different responses.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00000"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I</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C00000"/>
                <w:sz w:val="26"/>
                <w:szCs w:val="26"/>
              </w:rPr>
              <w:t xml:space="preserve">Generativity Collapse</w:t>
            </w:r>
          </w:p>
          <w:p>
            <w:pPr>
              <w:spacing w:before="0" w:after="0"/>
            </w:pPr>
            <w:r>
              <w:rPr>
                <w:rFonts w:ascii="Arial" w:cs="Arial" w:eastAsia="Arial" w:hAnsi="Arial"/>
                <w:color w:val="444444"/>
                <w:sz w:val="19"/>
                <w:szCs w:val="19"/>
              </w:rPr>
              <w:t xml:space="preserve">Gen &lt; 1: The system contracts faster than it regenerates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Gen (productive capacity)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MODULATE + SCRIBE fail gradually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Chronic (years to decades)</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High if μ preserved; terminal if ignored</w:t>
            </w:r>
          </w:p>
        </w:tc>
      </w:tr>
    </w:tbl>
    <w:p>
      <w:pPr>
        <w:spacing w:before="100"/>
      </w:pPr>
    </w:p>
    <w:p>
      <w:pPr>
        <w:spacing w:before="60" w:after="100"/>
      </w:pPr>
      <w:r>
        <w:rPr>
          <w:rFonts w:ascii="Arial" w:cs="Arial" w:eastAsia="Arial" w:hAnsi="Arial"/>
          <w:color w:val="1A1A1A"/>
          <w:sz w:val="21"/>
          <w:szCs w:val="21"/>
        </w:rPr>
        <w:t xml:space="preserve">Generativity collapse is the slowest and most frequently misidentified collapse type. The system appears functional — institutions exist, transactions occur, metrics look acceptable — while the underlying ratio Gen = G·μ·D/(1+λ) falls below 1. New commitments are being created more slowly than existing commitments are terminating. The network is shrinking.</w:t>
      </w:r>
    </w:p>
    <w:p>
      <w:pPr>
        <w:spacing w:before="60"/>
      </w:pPr>
    </w:p>
    <w:p>
      <w:pPr>
        <w:spacing w:before="60" w:after="100"/>
      </w:pPr>
      <w:r>
        <w:rPr>
          <w:rFonts w:ascii="Arial" w:cs="Arial" w:eastAsia="Arial" w:hAnsi="Arial"/>
          <w:color w:val="1A1A1A"/>
          <w:sz w:val="21"/>
          <w:szCs w:val="21"/>
        </w:rPr>
        <w:t xml:space="preserve">The mechanism operates through all three Fabric coordinates simultaneously. D declines as institutions become less coherent and more internally contested. μ declines as collective memory of how to create new value is not transmitted. λ increases as energy is redirected toward maintaining existing commitments rather than generating new ones. Each of these movements reinforces the others.</w:t>
      </w:r>
    </w:p>
    <w:p>
      <w:pPr>
        <w:spacing w:before="60"/>
      </w:pPr>
    </w:p>
    <w:p>
      <w:pPr>
        <w:spacing w:before="60" w:after="100"/>
      </w:pPr>
      <w:r>
        <w:rPr>
          <w:rFonts w:ascii="Arial" w:cs="Arial" w:eastAsia="Arial" w:hAnsi="Arial"/>
          <w:color w:val="1A1A1A"/>
          <w:sz w:val="21"/>
          <w:szCs w:val="21"/>
        </w:rPr>
        <w:t xml:space="preserve">In market terms: derivation replaces generation. Financialization — the progressive substitution of Exchange-mode redistribution for Coupling-mode generation — is Type I collapse in progress. The GDP metric cannot distinguish between generative and redistributive activity. The Explosivity metric does: DO/GO rises as generative output (GO) stagnates while derivative output (DO) grows. E rises. The system approaches instability while appearing healthy.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Historical Pattern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Rome (2nd-5th century CE): Declining agricultural productivity, reduced military recruitment capacity, shrinking frontier defense, progressive debasement of the denarius reducing monetary fidelity. All are Gen &lt; 1 in different subsystems, compounding over centuries. The sack of Rome in 476 CE was not the cause — it was the terminal event of a Type I collapse that had been running for 300 years.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7B3F00"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II</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7B3F00"/>
                <w:sz w:val="26"/>
                <w:szCs w:val="26"/>
              </w:rPr>
              <w:t xml:space="preserve">Memory Collapse</w:t>
            </w:r>
          </w:p>
          <w:p>
            <w:pPr>
              <w:spacing w:before="0" w:after="0"/>
            </w:pPr>
            <w:r>
              <w:rPr>
                <w:rFonts w:ascii="Arial" w:cs="Arial" w:eastAsia="Arial" w:hAnsi="Arial"/>
                <w:color w:val="444444"/>
                <w:sz w:val="19"/>
                <w:szCs w:val="19"/>
              </w:rPr>
              <w:t xml:space="preserve">μ → μ_critical: System loses capacity for self-observation and self-repair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μ (memory fidelity)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MONITOR fails when μ &lt; 1/(2e)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Subacute to chronic</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Critical threshold: below μ_critical, recovery requires external scaffolding</w:t>
            </w:r>
          </w:p>
        </w:tc>
      </w:tr>
    </w:tbl>
    <w:p>
      <w:pPr>
        <w:spacing w:before="100"/>
      </w:pPr>
    </w:p>
    <w:p>
      <w:pPr>
        <w:spacing w:before="60" w:after="100"/>
      </w:pPr>
      <w:r>
        <w:rPr>
          <w:rFonts w:ascii="Arial" w:cs="Arial" w:eastAsia="Arial" w:hAnsi="Arial"/>
          <w:color w:val="1A1A1A"/>
          <w:sz w:val="21"/>
          <w:szCs w:val="21"/>
        </w:rPr>
        <w:t xml:space="preserve">Memory collapse is the most dangerous collapse type because it is the one that eliminates the possibility of self-repair. MONITOR exists only when μ_sys ≥ μ_critical = 1/(2e) ≈ 0.184 (Definition 4.3.1, CM v4.0). Below this threshold, the system loses self-awareness capacity — it cannot detect its own degradation and cannot initiate repair. The MONITOR failure is not a symptom of collapse. It is the point at which collapse becomes irreversible from within.</w:t>
      </w:r>
    </w:p>
    <w:p>
      <w:pPr>
        <w:spacing w:before="60"/>
      </w:pPr>
    </w:p>
    <w:p>
      <w:pPr>
        <w:spacing w:before="60" w:after="100"/>
      </w:pPr>
      <w:r>
        <w:rPr>
          <w:rFonts w:ascii="Arial" w:cs="Arial" w:eastAsia="Arial" w:hAnsi="Arial"/>
          <w:color w:val="1A1A1A"/>
          <w:sz w:val="21"/>
          <w:szCs w:val="21"/>
        </w:rPr>
        <w:t xml:space="preserve">Memory degradation takes several forms. DECEIVE operations inject false information into the memory substrate (false injection, memory erasure, history rewriting, phantom creation). The effectiveness of DECEIVE scales inversely with existing memory fidelity: p_deceive = e^(-ln2·μ). Low μ makes the system maximally vulnerable to deception. Deception further lowers μ. This is a positive feedback loop that accelerates once initiated.</w:t>
      </w:r>
    </w:p>
    <w:p>
      <w:pPr>
        <w:spacing w:before="60"/>
      </w:pPr>
    </w:p>
    <w:p>
      <w:pPr>
        <w:spacing w:before="60" w:after="100"/>
      </w:pPr>
      <w:r>
        <w:rPr>
          <w:rFonts w:ascii="Arial" w:cs="Arial" w:eastAsia="Arial" w:hAnsi="Arial"/>
          <w:color w:val="1A1A1A"/>
          <w:sz w:val="21"/>
          <w:szCs w:val="21"/>
        </w:rPr>
        <w:t xml:space="preserve">In monetary systems, hyperinflation is Type II collapse of the unit of account. The operational currency's measuring rod function — enabling commitments to be specified, tracked, and realized across time — requires stable memory fidelity. When λ unconstrained drives exponential degradation of the operational currency against any stable reference, the memory substrate for long-duration commitments collapses. Contracts, savings, pensions, investment horizons — all commitments that require memory of past value — become structurally incoherent.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 Threshold</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μ_critical = 1/(2e) ≈ 0.184 is not a soft warning threshold. It is the point at which MONITOR structurally cannot exist. A system below this threshold cannot know itself. It cannot observe its own Fabric coordinates. It cannot trigger repair. Recovery from below μ_critical requires external scaffolding — an outside entity with functioning μ providing developmental Isolation (Addendum 2) and Governance functions until the collapsing system's own control architecture can be rebuilt.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Historical Pattern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Weimar Germany (1921-1923): Reserve Asset removed (war reparations demands exceeded any material anchor). λ unconstrained. Operational currency lost measuring rod function. Memory of contractual value became incoherent — a wheelbarrow of marks bought bread today, was worthless tomorrow. The unit of account — the memory substrate of all economic commitments — collapsed to μ ≈ 0.</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4A235B"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III</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4A235B"/>
                <w:sz w:val="26"/>
                <w:szCs w:val="26"/>
              </w:rPr>
              <w:t xml:space="preserve">Defense Collapse</w:t>
            </w:r>
          </w:p>
          <w:p>
            <w:pPr>
              <w:spacing w:before="0" w:after="0"/>
            </w:pPr>
            <w:r>
              <w:rPr>
                <w:rFonts w:ascii="Arial" w:cs="Arial" w:eastAsia="Arial" w:hAnsi="Arial"/>
                <w:color w:val="444444"/>
                <w:sz w:val="19"/>
                <w:szCs w:val="19"/>
              </w:rPr>
              <w:t xml:space="preserve">D → 0: Structural coherence fails, boundaries dissolve, COERCE succeeds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D (structural coherence)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SECURE overwhelmed by external COERCE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Acute to subacute</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High if μ preserved — memory of prior structure enables reconstruction</w:t>
            </w:r>
          </w:p>
        </w:tc>
      </w:tr>
    </w:tbl>
    <w:p>
      <w:pPr>
        <w:spacing w:before="100"/>
      </w:pPr>
    </w:p>
    <w:p>
      <w:pPr>
        <w:spacing w:before="60" w:after="100"/>
      </w:pPr>
      <w:r>
        <w:rPr>
          <w:rFonts w:ascii="Arial" w:cs="Arial" w:eastAsia="Arial" w:hAnsi="Arial"/>
          <w:color w:val="1A1A1A"/>
          <w:sz w:val="21"/>
          <w:szCs w:val="21"/>
        </w:rPr>
        <w:t xml:space="preserve">Defense collapse occurs when COERCE operations (Definition 4.4, CM v4.0) succeed: external force overrides system resistance because D has fallen below the threshold where D_local &lt; D_critical. The system's structural boundaries dissolve. SECURE, which governs Defense through boundary reinforcement and resistance management, is overwhelmed by the external pressure.</w:t>
      </w:r>
    </w:p>
    <w:p>
      <w:pPr>
        <w:spacing w:before="60"/>
      </w:pPr>
    </w:p>
    <w:p>
      <w:pPr>
        <w:spacing w:before="60" w:after="100"/>
      </w:pPr>
      <w:r>
        <w:rPr>
          <w:rFonts w:ascii="Arial" w:cs="Arial" w:eastAsia="Arial" w:hAnsi="Arial"/>
          <w:color w:val="1A1A1A"/>
          <w:sz w:val="21"/>
          <w:szCs w:val="21"/>
        </w:rPr>
        <w:t xml:space="preserve">The key insight from the framework: D collapse is recoverable if μ is preserved. Defense is structural coherence — the arrangement of commitments in the network. That arrangement can be reconstructed if the memory of what it was — the knowledge of how to organize, what roles existed, what the structure required — survives the collapse. Occupied civilizations that preserve cultural memory reconstruct. Those that lose memory with their Defense do not.</w:t>
      </w:r>
    </w:p>
    <w:p>
      <w:pPr>
        <w:spacing w:before="60"/>
      </w:pPr>
    </w:p>
    <w:p>
      <w:pPr>
        <w:spacing w:before="60" w:after="100"/>
      </w:pPr>
      <w:r>
        <w:rPr>
          <w:rFonts w:ascii="Arial" w:cs="Arial" w:eastAsia="Arial" w:hAnsi="Arial"/>
          <w:color w:val="1A1A1A"/>
          <w:sz w:val="21"/>
          <w:szCs w:val="21"/>
        </w:rPr>
        <w:t xml:space="preserve">In market terms, Type III collapse is institutional capture: the regulatory Defense that constrains operations is progressively disabled through COERCE mechanisms — regulatory capture, lobbying, revolving door mechanisms. D_regulatory → 0 while the appearance of Defense is maintained through formal institutional existence. The SECURE function nominally exists but does not function. VIOLATE operations proceed without resistance.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Historical Pattern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Byzantine Empire (1453): After 1,129 years of stability, the final collapse was Type III — Defense overwhelmed by Ottoman military force. Critically: Greek scholars fled to Italy carrying manuscripts, preserving μ. The knowledge of Byzantine civilization seeded the Italian Renaissance. Defense collapsed; Memory survived; partial reconstruction followed in a new substrate. Contrast with civilizations where conquerors destroyed memory systems as part of conquest — those show no reconstruction.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54360"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IV</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154360"/>
                <w:sz w:val="26"/>
                <w:szCs w:val="26"/>
              </w:rPr>
              <w:t xml:space="preserve">Pulse Extremes</w:t>
            </w:r>
          </w:p>
          <w:p>
            <w:pPr>
              <w:spacing w:before="0" w:after="0"/>
            </w:pPr>
            <w:r>
              <w:rPr>
                <w:rFonts w:ascii="Arial" w:cs="Arial" w:eastAsia="Arial" w:hAnsi="Arial"/>
                <w:color w:val="444444"/>
                <w:sz w:val="19"/>
                <w:szCs w:val="19"/>
              </w:rPr>
              <w:t xml:space="preserve">λ → 0 (exhaustion) or λ → 1 (runaway): Dynamical excitation outside operational range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λ (dynamical excitation)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MODULATE overwhelmed; HANDLE absent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Acute (IVb) or chronic (IVa)</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IVa: recoverable with resource injection. IVb: requires SECURE + HANDLE_RECOIL</w:t>
            </w:r>
          </w:p>
        </w:tc>
      </w:tr>
    </w:tbl>
    <w:p>
      <w:pPr>
        <w:spacing w:before="100"/>
      </w:pPr>
    </w:p>
    <w:p>
      <w:pPr>
        <w:spacing w:before="60" w:after="100"/>
      </w:pPr>
      <w:r>
        <w:rPr>
          <w:rFonts w:ascii="Arial" w:cs="Arial" w:eastAsia="Arial" w:hAnsi="Arial"/>
          <w:color w:val="1A1A1A"/>
          <w:sz w:val="21"/>
          <w:szCs w:val="21"/>
        </w:rPr>
        <w:t xml:space="preserve">Type IV splits into two distinct subtypes with opposite mechanisms but the same structural cause: MODULATE has failed to maintain λ within operational range.</w:t>
      </w:r>
    </w:p>
    <w:p>
      <w:pPr>
        <w:spacing w:before="60"/>
      </w:pPr>
    </w:p>
    <w:p>
      <w:pPr>
        <w:spacing w:before="200" w:after="80"/>
      </w:pPr>
      <w:r>
        <w:rPr>
          <w:rFonts w:ascii="Arial" w:cs="Arial" w:eastAsia="Arial" w:hAnsi="Arial"/>
          <w:b/>
          <w:bCs/>
          <w:color w:val="444444"/>
          <w:sz w:val="22"/>
          <w:szCs w:val="22"/>
        </w:rPr>
        <w:t xml:space="preserve">Type IVa: Pulse Exhaustion (λ → 0)</w:t>
      </w:r>
    </w:p>
    <w:p>
      <w:pPr>
        <w:spacing w:before="60" w:after="100"/>
      </w:pPr>
      <w:r>
        <w:rPr>
          <w:rFonts w:ascii="Arial" w:cs="Arial" w:eastAsia="Arial" w:hAnsi="Arial"/>
          <w:color w:val="1A1A1A"/>
          <w:sz w:val="21"/>
          <w:szCs w:val="21"/>
        </w:rPr>
        <w:t xml:space="preserve">EXTRACT operations (Definition 4.4, CM v4.0) drain λ without reciprocity: λ_post = λ_pre · e^(-ln2·t_extract). As λ approaches 0, Generativity Gen = G·μ·D/(1+λ) paradoxically reaches maximum — but this is illusory. Gen appears high because the denominator (1+λ) is minimized, but the system has no energetic capacity to execute operations. The commitment network freezes: TEST returns +1 but EXECUTE cannot fire because there are no resources to deploy.</w:t>
      </w:r>
    </w:p>
    <w:p>
      <w:pPr>
        <w:spacing w:before="60"/>
      </w:pPr>
    </w:p>
    <w:p>
      <w:pPr>
        <w:spacing w:before="60" w:after="100"/>
      </w:pPr>
      <w:r>
        <w:rPr>
          <w:rFonts w:ascii="Arial" w:cs="Arial" w:eastAsia="Arial" w:hAnsi="Arial"/>
          <w:color w:val="1A1A1A"/>
          <w:sz w:val="21"/>
          <w:szCs w:val="21"/>
        </w:rPr>
        <w:t xml:space="preserve">Deflationary depression is Type IVa. Liquidity traps are Type IVa. Resource depletion crises are Type IVa. The formal mechanism is identical across all: λ extracted faster than MODULATE can replenish. The system structurally cannot generate the Pulse needed to execute the operations that would restore it.</w:t>
      </w:r>
    </w:p>
    <w:p>
      <w:pPr>
        <w:spacing w:before="60"/>
      </w:pPr>
    </w:p>
    <w:p>
      <w:pPr>
        <w:spacing w:before="200" w:after="80"/>
      </w:pPr>
      <w:r>
        <w:rPr>
          <w:rFonts w:ascii="Arial" w:cs="Arial" w:eastAsia="Arial" w:hAnsi="Arial"/>
          <w:b/>
          <w:bCs/>
          <w:color w:val="444444"/>
          <w:sz w:val="22"/>
          <w:szCs w:val="22"/>
        </w:rPr>
        <w:t xml:space="preserve">Type IVb: Pulse Runaway (λ → 1)</w:t>
      </w:r>
    </w:p>
    <w:p>
      <w:pPr>
        <w:spacing w:before="60" w:after="100"/>
      </w:pPr>
      <w:r>
        <w:rPr>
          <w:rFonts w:ascii="Arial" w:cs="Arial" w:eastAsia="Arial" w:hAnsi="Arial"/>
          <w:color w:val="1A1A1A"/>
          <w:sz w:val="21"/>
          <w:szCs w:val="21"/>
        </w:rPr>
        <w:t xml:space="preserve">Excitation amplifies without correction: λ ← λ · e^t. High λ reduces Gen through the denominator: Gen = G·μ·D/(1+λ). The system appears maximally active while its capacity for sustained generation collapses. High λ also degrades D through excitation-induced structural damage. Unity vertex (1,1,1) is the temporary peak before Type IVb collapse drives the system toward Defensive Pulse (1,0,1) — energetic activity with no memory — and then toward Null.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Market Translation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1929 (IVa): Margin call cascade extracted λ from the financial network faster than any intervention could restore it. The Great Depression was the economy frozen at λ ≈ 0 — no capacity for the operations that would restart it. 2000 dot-com and 2021 crypto (IVb): λ runaway in speculative assets. Unity vertex momentarily achieved, then structural coherence dissolved as excitation overwhelmed any anchor. In both cases, the absence of HANDLE_RECOIL meant the correction cascaded beyond what the initial imbalance required.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922B21"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V</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922B21"/>
                <w:sz w:val="26"/>
                <w:szCs w:val="26"/>
              </w:rPr>
              <w:t xml:space="preserve">Dependency Hierarchy Inversion</w:t>
            </w:r>
          </w:p>
          <w:p>
            <w:pPr>
              <w:spacing w:before="0" w:after="0"/>
            </w:pPr>
            <w:r>
              <w:rPr>
                <w:rFonts w:ascii="Arial" w:cs="Arial" w:eastAsia="Arial" w:hAnsi="Arial"/>
                <w:color w:val="444444"/>
                <w:sz w:val="19"/>
                <w:szCs w:val="19"/>
              </w:rPr>
              <w:t xml:space="preserve">CV hierarchy violated: phantom value accumulates across all layers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Dependency depth 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MONITOR absent; SCRIBE corrupt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Subacute (months to years)</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Structural correction guaranteed — hierarchy always reasserts. Recovery severity depends on μ preservation.</w:t>
            </w:r>
          </w:p>
        </w:tc>
      </w:tr>
    </w:tbl>
    <w:p>
      <w:pPr>
        <w:spacing w:before="100"/>
      </w:pPr>
    </w:p>
    <w:p>
      <w:pPr>
        <w:spacing w:before="60" w:after="100"/>
      </w:pPr>
      <w:r>
        <w:rPr>
          <w:rFonts w:ascii="Arial" w:cs="Arial" w:eastAsia="Arial" w:hAnsi="Arial"/>
          <w:color w:val="1A1A1A"/>
          <w:sz w:val="21"/>
          <w:szCs w:val="21"/>
        </w:rPr>
        <w:t xml:space="preserve">Type V collapse is the formal expression of every financial crisis. The dependency hierarchy established in Law 3 and CM v4.0 (Definition 2.3) requires:</w:t>
      </w:r>
    </w:p>
    <w:p>
      <w:pPr>
        <w:shd w:fill="F5F5F5" w:val="clear"/>
        <w:spacing w:before="120" w:after="120"/>
        <w:ind w:left="720" w:right="720"/>
        <w:jc w:val="center"/>
      </w:pPr>
      <w:r>
        <w:rPr>
          <w:rFonts w:ascii="Courier New" w:cs="Courier New" w:eastAsia="Courier New" w:hAnsi="Courier New"/>
          <w:b/>
          <w:bCs/>
          <w:color w:val="1F3864"/>
          <w:sz w:val="20"/>
          <w:szCs w:val="20"/>
        </w:rPr>
        <w:t xml:space="preserve">CV_reserve ≥ CV_currency ≥ CV_debt ≥ CV_derivative</w:t>
      </w:r>
    </w:p>
    <w:p>
      <w:pPr>
        <w:spacing w:before="60" w:after="100"/>
      </w:pPr>
      <w:r>
        <w:rPr>
          <w:rFonts w:ascii="Arial" w:cs="Arial" w:eastAsia="Arial" w:hAnsi="Arial"/>
          <w:color w:val="1A1A1A"/>
          <w:sz w:val="21"/>
          <w:szCs w:val="21"/>
        </w:rPr>
        <w:t xml:space="preserve">Each layer is bounded by its foundation: CV(C_j) ≤ e^(-kd) · CV(C_i). When derivative instruments are priced as if they sit at d=0 — as if they carry no dependency discount — phantom value accumulates above the structural ceiling. The gap between reported value and structural maximum is invisible during normal conditions and catastrophic when it becomes visible.</w:t>
      </w:r>
    </w:p>
    <w:p>
      <w:pPr>
        <w:spacing w:before="60"/>
      </w:pPr>
    </w:p>
    <w:p>
      <w:pPr>
        <w:spacing w:before="60" w:after="100"/>
      </w:pPr>
      <w:r>
        <w:rPr>
          <w:rFonts w:ascii="Arial" w:cs="Arial" w:eastAsia="Arial" w:hAnsi="Arial"/>
          <w:color w:val="1A1A1A"/>
          <w:sz w:val="21"/>
          <w:szCs w:val="21"/>
        </w:rPr>
        <w:t xml:space="preserve">Type V is the only collapse type where recovery is structurally guaranteed. The dependency hierarchy cannot be permanently inverted. CV_derivative cannot sustainably exceed CV_reserve. The correction is not a policy question — it is a structural necessity. The only variable is velocity: how fast the reassertion occurs and how much μ is destroyed in the process.</w:t>
      </w:r>
    </w:p>
    <w:p>
      <w:pPr>
        <w:spacing w:before="60"/>
      </w:pPr>
    </w:p>
    <w:p>
      <w:pPr>
        <w:spacing w:before="60" w:after="100"/>
      </w:pPr>
      <w:r>
        <w:rPr>
          <w:rFonts w:ascii="Arial" w:cs="Arial" w:eastAsia="Arial" w:hAnsi="Arial"/>
          <w:color w:val="1A1A1A"/>
          <w:sz w:val="21"/>
          <w:szCs w:val="21"/>
        </w:rPr>
        <w:t xml:space="preserve">This is why Type V collapses are often acute: the gap closes rapidly because the structural correction has been deferred. The longer the inversion is maintained through SCRIBE corruption (false ratings), MONITOR suppression (regulatory capture), or DECEIVE operations (off-balance-sheet treatment), the larger the gap and the more violent the correction.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Historical Pattern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2008 Financial Crisis: Mortgage-backed securities and CDO-squared instruments were priced at CV_derivative ≈ CV_debt — as if d=0. The structural ceiling was CV₀(mortgage) · e^(-3 ln2) = CV₀/8 for depth-3 instruments. When V and A collapsed (housing prices fell, delinquency rose), the continuous phase φ = e^(iΔθ) resolved to ı = -1 for millions of commitments simultaneously. The gap between ı=0 reported value and ı=-1 realized value became observable all at once. This was not a liquidity crisis. It was the dependency hierarchy reasserting.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A5276"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VI</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1A5276"/>
                <w:sz w:val="26"/>
                <w:szCs w:val="26"/>
              </w:rPr>
              <w:t xml:space="preserve">Isolation Cascade</w:t>
            </w:r>
          </w:p>
          <w:p>
            <w:pPr>
              <w:spacing w:before="0" w:after="0"/>
            </w:pPr>
            <w:r>
              <w:rPr>
                <w:rFonts w:ascii="Arial" w:cs="Arial" w:eastAsia="Arial" w:hAnsi="Arial"/>
                <w:color w:val="444444"/>
                <w:sz w:val="19"/>
                <w:szCs w:val="19"/>
              </w:rPr>
              <w:t xml:space="preserve">Network-wide Rᴰ inflation: commitments can no longer interact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Relational distance Rᴰ</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TEST cannot fire; no frame intersection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Chronic to civilizational</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Most difficult. Cannot be repaired — must be rebuilt from CREATE.</w:t>
            </w:r>
          </w:p>
        </w:tc>
      </w:tr>
    </w:tbl>
    <w:p>
      <w:pPr>
        <w:spacing w:before="100"/>
      </w:pPr>
    </w:p>
    <w:p>
      <w:pPr>
        <w:spacing w:before="60" w:after="100"/>
      </w:pPr>
      <w:r>
        <w:rPr>
          <w:rFonts w:ascii="Arial" w:cs="Arial" w:eastAsia="Arial" w:hAnsi="Arial"/>
          <w:color w:val="1A1A1A"/>
          <w:sz w:val="21"/>
          <w:szCs w:val="21"/>
        </w:rPr>
        <w:t xml:space="preserve">Type VI is the collapse of relational architecture itself. When relational distance Rᴰ between commitments rises to or above the Isolation threshold (1-e^(-1) ≈ 0.632) across the network, the Commitment Field collapses. No inter-commitment operations can execute. TEST cannot fire because there is no frame intersection to evaluate. The network atomizes: each commitment can only perform self-operations.</w:t>
      </w:r>
    </w:p>
    <w:p>
      <w:pPr>
        <w:spacing w:before="60"/>
      </w:pPr>
    </w:p>
    <w:p>
      <w:pPr>
        <w:spacing w:before="60" w:after="100"/>
      </w:pPr>
      <w:r>
        <w:rPr>
          <w:rFonts w:ascii="Arial" w:cs="Arial" w:eastAsia="Arial" w:hAnsi="Arial"/>
          <w:color w:val="1A1A1A"/>
          <w:sz w:val="21"/>
          <w:szCs w:val="21"/>
        </w:rPr>
        <w:t xml:space="preserve">The mode thresholds make this precise. Coupling mode (Rᴰ &lt; e^(-3)) generates new value through JUMP. Interference mode enables ROT and direct INC. Exchange mode enables value transfer through a Medium of Exchange. Each mode requires a lower Commitment Field density than the last. As Rᴰ inflates across the network, modes are progressively lost: first Coupling (no new generation), then Interference (no phase alignment), then Exchange (no value transfer), then total Isolation.</w:t>
      </w:r>
    </w:p>
    <w:p>
      <w:pPr>
        <w:spacing w:before="60"/>
      </w:pPr>
    </w:p>
    <w:p>
      <w:pPr>
        <w:spacing w:before="60" w:after="100"/>
      </w:pPr>
      <w:r>
        <w:rPr>
          <w:rFonts w:ascii="Arial" w:cs="Arial" w:eastAsia="Arial" w:hAnsi="Arial"/>
          <w:color w:val="1A1A1A"/>
          <w:sz w:val="21"/>
          <w:szCs w:val="21"/>
        </w:rPr>
        <w:t xml:space="preserve">Societal fragmentation is Type VI. Extreme political polarization drives Rᴰ toward Isolation across civic commitments — institutions that require frame intersection to function (NEGOTIATE, shared EXECUTE) cannot operate. Not because individuals are irrational, but because the relational distance between frames is geometrically above the threshold where any productive operation is possible. No Medium of Exchange can bridge Isolation-range distances (Theorem 10.4: Eff(Rᴰ) &lt; 0.25 making interaction economically infeasible).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Recovery Constraint</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Type VI is the only collapse type where REPAIR cannot converge. REPAIR operates on individual commitments' anchor parameters. But the Commitment Field itself — which mediates all operations — does not exist in Isolation. The field collapses at Rᴰ = 1-e^(-1). Recovery requires CREATE operations: new commitments formed at low Rᴰ, building network density from scratch until the Commitment Field re-emerges. This is civilizational reconstruction, not repair. It requires external scaffolding or a seed population maintaining Coupling-mode relationships as the nucleus of a new network.</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45A32" w:val="clear"/>
            <w:tcMar>
              <w:top w:type="dxa" w:w="120"/>
              <w:left w:type="dxa" w:w="140"/>
              <w:bottom w:type="dxa" w:w="120"/>
              <w:right w:type="dxa" w:w="140"/>
            </w:tcMar>
          </w:tcPr>
          <w:p>
            <w:pPr>
              <w:jc w:val="center"/>
            </w:pPr>
            <w:r>
              <w:rPr>
                <w:rFonts w:ascii="Arial" w:cs="Arial" w:eastAsia="Arial" w:hAnsi="Arial"/>
                <w:b/>
                <w:bCs/>
                <w:color w:val="FFFFFF"/>
                <w:sz w:val="36"/>
                <w:szCs w:val="36"/>
              </w:rPr>
              <w:t xml:space="preserve">VII</w:t>
            </w:r>
          </w:p>
          <w:p>
            <w:pPr>
              <w:jc w:val="center"/>
            </w:pPr>
            <w:r>
              <w:rPr>
                <w:rFonts w:ascii="Arial" w:cs="Arial" w:eastAsia="Arial" w:hAnsi="Arial"/>
                <w:color w:val="FFFFFF"/>
                <w:sz w:val="16"/>
                <w:szCs w:val="16"/>
              </w:rPr>
              <w:t xml:space="preserve">TYPE</w:t>
            </w:r>
          </w:p>
        </w:tc>
        <w:tc>
          <w:tcPr>
            <w:tcW w:type="dxa" w:w="828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20"/>
            </w:tcMar>
          </w:tcPr>
          <w:p>
            <w:pPr>
              <w:spacing w:before="0" w:after="40"/>
            </w:pPr>
            <w:r>
              <w:rPr>
                <w:rFonts w:ascii="Arial" w:cs="Arial" w:eastAsia="Arial" w:hAnsi="Arial"/>
                <w:b/>
                <w:bCs/>
                <w:color w:val="145A32"/>
                <w:sz w:val="26"/>
                <w:szCs w:val="26"/>
              </w:rPr>
              <w:t xml:space="preserve">Reserve Anchor Dissolution</w:t>
            </w:r>
          </w:p>
          <w:p>
            <w:pPr>
              <w:spacing w:before="0" w:after="0"/>
            </w:pPr>
            <w:r>
              <w:rPr>
                <w:rFonts w:ascii="Arial" w:cs="Arial" w:eastAsia="Arial" w:hAnsi="Arial"/>
                <w:color w:val="444444"/>
                <w:sz w:val="19"/>
                <w:szCs w:val="19"/>
              </w:rPr>
              <w:t xml:space="preserve">CV_reserve → CV_currency: measuring rod disappears, λ becomes uncomputable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 Failure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Potential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Reserve Asset architecture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Central bank mandate corrupted; MODULATE loses reference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Civilizational (generations)</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Requires reestablishing material-based Reserve Asset at d=0 with distributed anchoring</w:t>
            </w:r>
          </w:p>
        </w:tc>
      </w:tr>
    </w:tbl>
    <w:p>
      <w:pPr>
        <w:spacing w:before="100"/>
      </w:pPr>
    </w:p>
    <w:p>
      <w:pPr>
        <w:spacing w:before="60" w:after="100"/>
      </w:pPr>
      <w:r>
        <w:rPr>
          <w:rFonts w:ascii="Arial" w:cs="Arial" w:eastAsia="Arial" w:hAnsi="Arial"/>
          <w:color w:val="1A1A1A"/>
          <w:sz w:val="21"/>
          <w:szCs w:val="21"/>
        </w:rPr>
        <w:t xml:space="preserve">Type VII is the collapse of the temporal foundation of commitment. The Reserve Asset serves as the measuring rod against which the Operational Currency's degradation rate λ is computed and regulated. Lambda is defined as:</w:t>
      </w:r>
    </w:p>
    <w:p>
      <w:pPr>
        <w:shd w:fill="F5F5F5" w:val="clear"/>
        <w:spacing w:before="120" w:after="120"/>
        <w:ind w:left="720" w:right="720"/>
        <w:jc w:val="center"/>
      </w:pPr>
      <w:r>
        <w:rPr>
          <w:rFonts w:ascii="Courier New" w:cs="Courier New" w:eastAsia="Courier New" w:hAnsi="Courier New"/>
          <w:b/>
          <w:bCs/>
          <w:color w:val="1F3864"/>
          <w:sz w:val="20"/>
          <w:szCs w:val="20"/>
        </w:rPr>
        <w:t xml:space="preserve">λ = -d/dt [ln(CV_currency / CV_reserve)]</w:t>
      </w:r>
    </w:p>
    <w:p>
      <w:pPr>
        <w:spacing w:before="60" w:after="100"/>
      </w:pPr>
      <w:r>
        <w:rPr>
          <w:rFonts w:ascii="Arial" w:cs="Arial" w:eastAsia="Arial" w:hAnsi="Arial"/>
          <w:color w:val="1A1A1A"/>
          <w:sz w:val="21"/>
          <w:szCs w:val="21"/>
        </w:rPr>
        <w:t xml:space="preserve">This equation requires CV_reserve to be an independent quantity. When the Reserve Asset is absent or has been collapsed into the Operational Currency — as in the current global fiat system where USD serves both roles — CV_reserve = CV_currency and λ becomes self-referential. The measuring rod has no external anchor. The generational planning horizon:</w:t>
      </w:r>
    </w:p>
    <w:p>
      <w:pPr>
        <w:shd w:fill="F5F5F5" w:val="clear"/>
        <w:spacing w:before="120" w:after="120"/>
        <w:ind w:left="720" w:right="720"/>
        <w:jc w:val="center"/>
      </w:pPr>
      <w:r>
        <w:rPr>
          <w:rFonts w:ascii="Courier New" w:cs="Courier New" w:eastAsia="Courier New" w:hAnsi="Courier New"/>
          <w:b/>
          <w:bCs/>
          <w:color w:val="1F3864"/>
          <w:sz w:val="20"/>
          <w:szCs w:val="20"/>
        </w:rPr>
        <w:t xml:space="preserve">τ_e = ln(2) / λ</w:t>
      </w:r>
    </w:p>
    <w:p>
      <w:pPr>
        <w:spacing w:before="60" w:after="100"/>
      </w:pPr>
      <w:r>
        <w:rPr>
          <w:rFonts w:ascii="Arial" w:cs="Arial" w:eastAsia="Arial" w:hAnsi="Arial"/>
          <w:color w:val="1A1A1A"/>
          <w:sz w:val="21"/>
          <w:szCs w:val="21"/>
        </w:rPr>
        <w:t xml:space="preserve">cannot be computed against an independent reference. It degrades without bound. The minimum τ_e required for generational planning horizons (Law 15) is 35-80 years. When τ_e &lt; 15 years, long-duration commitments — infrastructure investment, pension systems, multi-generational contracts — cannot be correctly priced. The temporal fabric of civilization contracts to the horizon that unreliable fiat memory can sustain.</w:t>
      </w:r>
    </w:p>
    <w:p>
      <w:pPr>
        <w:spacing w:before="60"/>
      </w:pPr>
    </w:p>
    <w:p>
      <w:pPr>
        <w:spacing w:before="60" w:after="100"/>
      </w:pPr>
      <w:r>
        <w:rPr>
          <w:rFonts w:ascii="Arial" w:cs="Arial" w:eastAsia="Arial" w:hAnsi="Arial"/>
          <w:color w:val="1A1A1A"/>
          <w:sz w:val="21"/>
          <w:szCs w:val="21"/>
        </w:rPr>
        <w:t xml:space="preserve">The anchoring-backing distinction is critical here. Type VII collapse is not caused by insufficient reserve coverage (backing logic). It is caused by the absence of the distributed negative feedback loop that anchoring provides. The Byzantine Solidus sustained 1,129 years not because the emperor held sufficient gold in central vaults, but because gold was distributed throughout the economy in millions of independent hands. Every holder observing λ deviating above target would sell reserves, absorbing operational currency. MODULATE was instantiated as a market mechanism that no single political actor could override.</w:t>
      </w:r>
    </w:p>
    <w:p>
      <w:pPr>
        <w:spacing w:before="60"/>
      </w:pPr>
    </w:p>
    <w:p>
      <w:pPr>
        <w:spacing w:before="60" w:after="100"/>
      </w:pPr>
      <w:r>
        <w:rPr>
          <w:rFonts w:ascii="Arial" w:cs="Arial" w:eastAsia="Arial" w:hAnsi="Arial"/>
          <w:color w:val="1A1A1A"/>
          <w:sz w:val="21"/>
          <w:szCs w:val="21"/>
        </w:rPr>
        <w:t xml:space="preserve">Type VII is the deepest collapse type because it operates at the temporal scale of civilizations. The 1971 Nixon shock removed the Reserve Asset anchor from the global monetary system. The consequences — τ_e collapsing from 46 years to 9-12 years, Explosivity rising to E ≈ 28, the dependency hierarchy losing its material floor — have been accumulating for 53 years. The correction has not yet occurred. When it does, it will be a Type VII reassertion compounded by accumulated Type I, II, and V collapses that were made possible by the anchor's absence.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The Only Resolution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A non-sovereign, material-based global Reserve Asset (α_M &gt; 0.7, satisfying all six Constraints of Law 13) distributed at 90-95% non-monetary-authority holdings, with a global Operational Currency anchored to it at d=1 and a central bank whose mandate is strictly lambda integrity maintenance. The SDR fails because it stacks disqualified Operational Currencies — producing a derivative at accumulated dependency depth, not a Reserve Asset. Gold is the only currently qualifying asset.</w:t>
            </w:r>
          </w:p>
        </w:tc>
      </w:tr>
    </w:tbl>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Secondary Dimensions of the Taxonomy</w:t>
      </w:r>
    </w:p>
    <w:p>
      <w:pPr>
        <w:spacing w:before="80"/>
      </w:pPr>
    </w:p>
    <w:p>
      <w:pPr>
        <w:pStyle w:val="Heading2"/>
        <w:spacing w:before="300" w:after="100"/>
      </w:pPr>
      <w:r>
        <w:rPr>
          <w:rFonts w:ascii="Arial" w:cs="Arial" w:eastAsia="Arial" w:hAnsi="Arial"/>
          <w:b/>
          <w:bCs/>
          <w:color w:val="2E75B6"/>
          <w:sz w:val="25"/>
          <w:szCs w:val="25"/>
        </w:rPr>
        <w:t xml:space="preserve">Collapse Velocity</w:t>
      </w:r>
    </w:p>
    <w:p>
      <w:pPr>
        <w:spacing w:before="60" w:after="100"/>
      </w:pPr>
      <w:r>
        <w:rPr>
          <w:rFonts w:ascii="Arial" w:cs="Arial" w:eastAsia="Arial" w:hAnsi="Arial"/>
          <w:color w:val="1A1A1A"/>
          <w:sz w:val="21"/>
          <w:szCs w:val="21"/>
        </w:rPr>
        <w:t xml:space="preserve">The primary type determines the trajectory; velocity is determined by whether Governance control primitives are functional and whether a HANDLE protocol exists.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Timescale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Driver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Days to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VIOLATE cascade without HANDLE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crashes, bank runs, currency crises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Subacute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Months to years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Type V reassertion; accumulated VIOLATE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Financial crises, institutional failures, coups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Chronic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Years to decades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Type I (Gen&lt;1); Type II (μ degradation)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Stagflation, demographic decline, institutional decay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Civilizational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Decades to generations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Type VII (anchor dissolution); Type VI (Isolation)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Imperial collapse, monetary system replacement, civilizational transition</w:t>
            </w:r>
          </w:p>
        </w:tc>
      </w:tr>
    </w:tbl>
    <w:p>
      <w:pPr>
        <w:spacing w:before="120"/>
      </w:pPr>
    </w:p>
    <w:p>
      <w:pPr>
        <w:pStyle w:val="Heading2"/>
        <w:spacing w:before="300" w:after="100"/>
      </w:pPr>
      <w:r>
        <w:rPr>
          <w:rFonts w:ascii="Arial" w:cs="Arial" w:eastAsia="Arial" w:hAnsi="Arial"/>
          <w:b/>
          <w:bCs/>
          <w:color w:val="2E75B6"/>
          <w:sz w:val="25"/>
          <w:szCs w:val="25"/>
        </w:rPr>
        <w:t xml:space="preserve">Recovery Typology</w:t>
      </w:r>
    </w:p>
    <w:p>
      <w:pPr>
        <w:spacing w:before="60" w:after="100"/>
      </w:pPr>
      <w:r>
        <w:rPr>
          <w:rFonts w:ascii="Arial" w:cs="Arial" w:eastAsia="Arial" w:hAnsi="Arial"/>
          <w:color w:val="1A1A1A"/>
          <w:sz w:val="21"/>
          <w:szCs w:val="21"/>
        </w:rPr>
        <w:t xml:space="preserve">Recovery potential is determined by the state of μ at the point when the collapse trajectory is recognized. This is the single most important variable in the taxonomy — more important than the type or velocity of collapse.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Recovery Mode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μ &gt;&gt; μ_critical, D degraded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REPAIR convergent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knows itself, can detect damage, initiate TEST(RPR). REPAIR restores anchor parameters. Full recovery possible.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μ &gt; μ_critical, D ≈ 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Structural reconstruction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Memory preserved; structure destroyed. Can rebuild on existing memory substrate. Requires external Defense scaffolding temporarily.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μ ≈ μ_critical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Assisted recovery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MONITOR function marginal. Requires external support to maintain μ above threshold while REPAIR operates. High fragility.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μ &lt; μ_critical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External scaffolding required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MONITOR cannot exist. System cannot know itself. Cannot initiate repair. Requires outside entity providing Governance until internal control architecture is rebuilt.</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0000"/>
                <w:sz w:val="19"/>
                <w:szCs w:val="19"/>
              </w:rPr>
              <w:t xml:space="preserve">μ ≈ 0</w:t>
            </w:r>
          </w:p>
        </w:tc>
        <w:tc>
          <w:tcPr>
            <w:tcW w:type="dxa" w:w="2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0000"/>
                <w:sz w:val="19"/>
                <w:szCs w:val="19"/>
              </w:rPr>
              <w:t xml:space="preserve">CREATE (not REPAIR)</w:t>
            </w:r>
          </w:p>
        </w:tc>
        <w:tc>
          <w:tcPr>
            <w:tcW w:type="dxa" w:w="4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0000"/>
                <w:sz w:val="19"/>
                <w:szCs w:val="19"/>
              </w:rPr>
              <w:t xml:space="preserve">System is effectively the dark sector: μ_local = 0 means no detection mechanism is available. Recovery requires new system creation — not restoration of the old one.</w:t>
            </w:r>
          </w:p>
        </w:tc>
      </w:tr>
    </w:tbl>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Market Crashes as a Subset of the Taxonomy</w:t>
      </w:r>
    </w:p>
    <w:p>
      <w:pPr>
        <w:spacing w:before="60" w:after="100"/>
      </w:pPr>
      <w:r>
        <w:rPr>
          <w:rFonts w:ascii="Arial" w:cs="Arial" w:eastAsia="Arial" w:hAnsi="Arial"/>
          <w:color w:val="1A1A1A"/>
          <w:sz w:val="21"/>
          <w:szCs w:val="21"/>
        </w:rPr>
        <w:t xml:space="preserve">Market crashes are acute collapse events — Type V (dependency inversion), Type IVa (pulse exhaustion), or Type IVb (pulse runaway) operating at high velocity because HANDLE protocols do not exist and MONITOR is not tracking Fabric coordinates in real time. They are not random events. They are structurally predictable from Explosivity.</w:t>
      </w:r>
    </w:p>
    <w:p>
      <w:pPr>
        <w:spacing w:before="60"/>
      </w:pPr>
    </w:p>
    <w:p>
      <w:pPr>
        <w:spacing w:before="60" w:after="100"/>
      </w:pPr>
      <w:r>
        <w:rPr>
          <w:rFonts w:ascii="Arial" w:cs="Arial" w:eastAsia="Arial" w:hAnsi="Arial"/>
          <w:color w:val="1A1A1A"/>
          <w:sz w:val="21"/>
          <w:szCs w:val="21"/>
        </w:rPr>
        <w:t xml:space="preserve">The relationship between Explosivity E and market crash probability is not linear. Below E ≈ 1, crashes are rare and small — the system has sufficient generative capacity to absorb disturbances. Above E ≈ 5, crashes are frequent and severe. Above E ≈ 20, a crash is not a risk but a structural certainty — the only question is what event triggers the cascade. At E ≈ 28 (current major economies), the system is not approaching instability. It is operating in a state where any sufficiently large perturbation triggers cascading VIOLATE across the network.</w:t>
      </w:r>
    </w:p>
    <w:p>
      <w:pPr>
        <w:spacing w:before="80"/>
      </w:pPr>
    </w:p>
    <w:p>
      <w:pPr>
        <w:pStyle w:val="Heading2"/>
        <w:spacing w:before="300" w:after="100"/>
      </w:pPr>
      <w:r>
        <w:rPr>
          <w:rFonts w:ascii="Arial" w:cs="Arial" w:eastAsia="Arial" w:hAnsi="Arial"/>
          <w:b/>
          <w:bCs/>
          <w:color w:val="2E75B6"/>
          <w:sz w:val="25"/>
          <w:szCs w:val="25"/>
        </w:rPr>
        <w:t xml:space="preserve">Historical Market Crashes Mapped to Taxonomy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Mechanism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Terminal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1929 Crash + Depression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IVa + 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Margin call cascade extracted λ. Dependency inversion in leveraged equity. No HANDLE_RECOIL. E exploded as λ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Decade-long Type IVa freeze. Recovery required external MODULATE (New Deal, WWII mobilization).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1971 Nixon Shock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19"/>
                <w:szCs w:val="19"/>
              </w:rPr>
              <w:t xml:space="preserve">VII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Reserve Asset anchor dissolved. λ became self-referential. τ_e began secular collapse from ~46 to ~10 years.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Ongoing Type VII. No terminal event yet. All subsequent crises are downstream.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1973-74 Oil Crisis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IVa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External EXTRACT on global λ through oil supply restriction. Stagflation = IVa + unconstrained λ (no anchor).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 recovery via MODULATE. Underlying Type VII not addressed.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1987 Black Monday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19"/>
                <w:szCs w:val="19"/>
              </w:rPr>
              <w:t xml:space="preserve">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Portfolio insurance triggered coordinated VIOLATE cascade. Dependency hierarchy briefly inverted in derivatives.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Acute. Fed injected λ. Recovery within months. μ preserved.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1997-98 Asian Crisis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III + 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Pegged exchange rates collapsed (Type III: Defense breached). Dependency inversion in currency derivatives. Contagion via relational coherence terms.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Severe for affected nations. Recovery required IMF external scaffolding.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2000 Dot-com Crash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19"/>
                <w:szCs w:val="19"/>
              </w:rPr>
              <w:t xml:space="preserve">IVb + 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λ runaway in tech equities (Unity vertex). Dependency inversion: equity valuations exceeded any rational CV₀. Phase resolved from ı=0 to ı=-1.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 IVb correction. 3-year bear market. μ preserved. Normal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2008 Financial Crisis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V + II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CDO/MBS dependency inversion. Simultaneous μ collapse through opacity. MONITOR absent. No HANDLE. VIOLATE cascade became systemic.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 hoc HANDLE (bailouts). μ partially restored. Underlying Type VII unaddressed. E higher post-crisis.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2020 COVID Crash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19"/>
                <w:szCs w:val="19"/>
              </w:rPr>
              <w:t xml:space="preserve">IVa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External shock collapsed λ. Acute Type IVa. MODULATE (stimulus) injected λ rapidly.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 recovery. μ preserved. But stimulus accelerated Type VII: τ_e further compressed.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 Trajectory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I + II + V + VII compound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Gen &lt; 1 (Type I). μ degrading through algorithmic trading, mark-to-market (Type II). Dependency inversion in all asset classes (Type V). No Reserve anchor (Type VII).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 ≈ 28. Correction structurally certain. Velocity determined by trigger event. μ at risk of crossing μ_critical in the correction.</w:t>
            </w:r>
          </w:p>
        </w:tc>
      </w:tr>
    </w:tbl>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Early Warning Indicators from the Taxonomy</w:t>
      </w:r>
    </w:p>
    <w:p>
      <w:pPr>
        <w:spacing w:before="60" w:after="100"/>
      </w:pPr>
      <w:r>
        <w:rPr>
          <w:rFonts w:ascii="Arial" w:cs="Arial" w:eastAsia="Arial" w:hAnsi="Arial"/>
          <w:color w:val="1A1A1A"/>
          <w:sz w:val="21"/>
          <w:szCs w:val="21"/>
        </w:rPr>
        <w:t xml:space="preserve">Each collapse type generates observable precursors that are mappable to the framework. These precursors are invisible under conventional economic metrics but legible under Commitment Mathematics.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40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Observable Precursors</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Conventional Misidentification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 (Generativity)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Rising DO/GO ratio. Financialization. Declining startup formation. Population aging without replacement. Shrinking R&amp;D as % of productive activity.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GDP growth (Exchange-mode redistribution counted as production). "Mature economy" framing of declining generativity.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II (Memory)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Accounting standard revisions. Rating agency restating. Historical data revision. Accelerating mark-to-market cycles. Narrative instability.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"Market efficiency" and "price discovery" rather than μ degradation.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III (Defense)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Regulatory capture metrics. Revolving door velocity. Enforcement action frequency declining. Institutional boundary violations going uncorrected.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"Deregulation" and "innovation" rather than D collapse.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IVa (Pulse exh.)</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Credit contraction. Velocity of money falling. Deflationary pressure. Liquidity preference rising. λ → 0 in credit markets.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"Recession" without identifying λ exhaustion mechanism.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IVb (Pulse run.)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 (Explosivity) rising. Asset price volatility increasing. Correlation rising. Speculative ratio above 2×CV₀. Unity vertex indicators.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"Bull market" and "animal spirits" rather than λ runaway.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 (Dep. inversion)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Derivative notional vs GDP ratio. Rating homogeneity across depth layers. Spread compression despite rising d. VIX suppression.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"Low volatility regime" and "Great Moderation" rather than inversion accumulating.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 (Isolation)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Political polarization metrics. Institutional distrust surveys. Cross-partisan cooperation rates. Trade network fragmentation. Frame coherence declining.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"Populism" and "polarization" rather than Rᴰ inflation toward Isolation.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VII (Anchor diss.)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τ_e below 35 years. λ &gt; 0.02. Reserve/currency ratio trending toward CV_reserve = CV_currency. Gold monetary premium persisting despite demonetization attempts.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"Inflation" and "monetary policy challenge" rather than Type VII anchor dissolution.</w:t>
            </w:r>
          </w:p>
        </w:tc>
      </w:tr>
    </w:tbl>
    <w:p>
      <w:pPr>
        <w:spacing w:before="200"/>
      </w:pPr>
    </w:p>
    <w:p>
      <w:pPr>
        <w:pStyle w:val="Heading1"/>
        <w:pBdr>
          <w:bottom w:val="single" w:color="2E75B6" w:sz="4" w:space="6"/>
        </w:pBdr>
        <w:spacing w:before="400" w:after="120"/>
      </w:pPr>
      <w:r>
        <w:rPr>
          <w:rFonts w:ascii="Arial" w:cs="Arial" w:eastAsia="Arial" w:hAnsi="Arial"/>
          <w:b/>
          <w:bCs/>
          <w:color w:val="1F3864"/>
          <w:sz w:val="30"/>
          <w:szCs w:val="30"/>
        </w:rPr>
        <w:t xml:space="preserve">The Structure of Collapse and Its Meaning</w:t>
      </w:r>
    </w:p>
    <w:p>
      <w:pPr>
        <w:spacing w:before="60" w:after="100"/>
      </w:pPr>
      <w:r>
        <w:rPr>
          <w:rFonts w:ascii="Arial" w:cs="Arial" w:eastAsia="Arial" w:hAnsi="Arial"/>
          <w:color w:val="1A1A1A"/>
          <w:sz w:val="21"/>
          <w:szCs w:val="21"/>
        </w:rPr>
        <w:t xml:space="preserve">This taxonomy is not pessimistic. It is diagnostic. Every collapse type has a formal recovery pathway — except the case where μ → 0 and the system loses the capacity to know itself. The framework's most important contribution is not the taxonomy of failure modes but the identification of the single most important preservation target: μ.</w:t>
      </w:r>
    </w:p>
    <w:p>
      <w:pPr>
        <w:spacing w:before="60"/>
      </w:pPr>
    </w:p>
    <w:p>
      <w:pPr>
        <w:spacing w:before="60" w:after="100"/>
      </w:pPr>
      <w:r>
        <w:rPr>
          <w:rFonts w:ascii="Arial" w:cs="Arial" w:eastAsia="Arial" w:hAnsi="Arial"/>
          <w:color w:val="1A1A1A"/>
          <w:sz w:val="21"/>
          <w:szCs w:val="21"/>
        </w:rPr>
        <w:t xml:space="preserve">Memory fidelity is the Fabric coordinate that determines whether a system can repair itself. A system with high μ and degraded D can reconstruct its structure — the memory of how it was organized survives the structural collapse. A system with high D and degraded μ is an amnesiac fortress: structurally intact but unable to orient itself, unable to detect its own degradation, unable to distinguish legitimate operations from DECEIVE injections. It appears stable and is not.</w:t>
      </w:r>
    </w:p>
    <w:p>
      <w:pPr>
        <w:spacing w:before="60"/>
      </w:pPr>
    </w:p>
    <w:p>
      <w:pPr>
        <w:spacing w:before="60" w:after="100"/>
      </w:pPr>
      <w:r>
        <w:rPr>
          <w:rFonts w:ascii="Arial" w:cs="Arial" w:eastAsia="Arial" w:hAnsi="Arial"/>
          <w:color w:val="1A1A1A"/>
          <w:sz w:val="21"/>
          <w:szCs w:val="21"/>
        </w:rPr>
        <w:t xml:space="preserve">The civilizations that survived catastrophic collapse — the Greek cultural tradition through the Byzantine period into the Renaissance, the Jewish tradition through repeated Diaspora, the Confucian tradition through dynastic cycles in China — did so through deliberate μ preservation. Elder systems, canonical texts, oral traditions maintained at SCRIBE-function intensity. These were not sentimental practices. They were structural survival mechanisms: keeping μ above μ_critical so that MONITOR remained functional even when D and λ were in crisis.</w:t>
      </w:r>
    </w:p>
    <w:p>
      <w:pPr>
        <w:spacing w:before="60"/>
      </w:pPr>
    </w:p>
    <w:p>
      <w:pPr>
        <w:spacing w:before="60" w:after="100"/>
      </w:pPr>
      <w:r>
        <w:rPr>
          <w:rFonts w:ascii="Arial" w:cs="Arial" w:eastAsia="Arial" w:hAnsi="Arial"/>
          <w:color w:val="1A1A1A"/>
          <w:sz w:val="21"/>
          <w:szCs w:val="21"/>
        </w:rPr>
        <w:t xml:space="preserve">The current global system faces compound collapse: Type I (generativity declining as financialization substitutes for generation), Type II (memory degrading through algorithmic trading and accounting instability), Type V (dependency hierarchy inverted across all asset classes), and Type VII (Reserve Asset anchor dissolved since 1971). The singular protective act — the one intervention that preserves recovery potential across all four simultaneous collapse trajectories — is maintaining μ above μ_critical.</w:t>
      </w:r>
    </w:p>
    <w:p>
      <w:pPr>
        <w:spacing w:before="60"/>
      </w:pPr>
    </w:p>
    <w:p>
      <w:pPr>
        <w:spacing w:before="60" w:after="100"/>
      </w:pPr>
      <w:r>
        <w:rPr>
          <w:rFonts w:ascii="Arial" w:cs="Arial" w:eastAsia="Arial" w:hAnsi="Arial"/>
          <w:color w:val="1A1A1A"/>
          <w:sz w:val="21"/>
          <w:szCs w:val="21"/>
        </w:rPr>
        <w:t xml:space="preserve">This is not a metaphor. The institutions, practices, and infrastructure that maintain memory fidelity of how economic value is actually generated, how commitments actually work, how dependency hierarchies actually constrain value, and what Reserve Asset anchoring actually provides — these are the structural survival mechanisms of the current civilization. Their degradation is not policy failure. It is Type II collapse in progress.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Framework References</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CM v4.0 · CM Addendum 1 · CM Addendum 2 (Isolate Mode) · 23 Laws of Quantified Commitments · Law 13: Reserve Asset v2.0 · The Commitment Field (Fabric) · 1D to 6D: Relational Foundation of Reality · Ubuntu || Commitment Mathematics</w:t>
            </w:r>
          </w:p>
        </w:tc>
      </w:tr>
    </w:tbl>
    <w:p>
      <w:pPr>
        <w:spacing w:before="160"/>
      </w:pPr>
    </w:p>
    <w:p>
      <w:pPr>
        <w:pBdr>
          <w:top w:val="single" w:color="CCCCCC" w:sz="2" w:space="8"/>
        </w:pBdr>
        <w:spacing w:before="120"/>
      </w:pPr>
      <w:r>
        <w:rPr>
          <w:rFonts w:ascii="Arial" w:cs="Arial" w:eastAsia="Arial" w:hAnsi="Arial"/>
          <w:color w:val="888888"/>
          <w:sz w:val="18"/>
          <w:szCs w:val="18"/>
        </w:rPr>
        <w:t xml:space="preserve">© Otto Beseka Isong, 2026  |  Genie Capital Ltd  |  ottobeseka@geniecapital.co  |  CC-BY-NC-SA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300" w:after="1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2026-02-17T11:57:48.888Z</dcterms:created>
  <dcterms:modified xsi:type="dcterms:W3CDTF">2026-02-17T11:57:48.889Z</dcterms:modified>
</cp:coreProperties>
</file>

<file path=docProps/custom.xml><?xml version="1.0" encoding="utf-8"?>
<Properties xmlns="http://schemas.openxmlformats.org/officeDocument/2006/custom-properties" xmlns:vt="http://schemas.openxmlformats.org/officeDocument/2006/docPropsVTypes"/>
</file>