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International Trade via Commitment Mathematics</w:t>
      </w:r>
    </w:p>
    <w:p>
      <w:pPr>
        <w:spacing w:before="0" w:after="80"/>
        <w:jc w:val="center"/>
      </w:pPr>
      <w:r>
        <w:rPr>
          <w:rFonts w:ascii="Arial" w:cs="Arial" w:eastAsia="Arial" w:hAnsi="Arial"/>
          <w:i/>
          <w:iCs/>
          <w:color w:val="2E5090"/>
          <w:sz w:val="28"/>
          <w:szCs w:val="28"/>
        </w:rPr>
        <w:t xml:space="preserve">A Structural Foundation for Cross-Border Value Exchange</w:t>
      </w:r>
    </w:p>
    <w:p>
      <w:pPr>
        <w:pBdr>
          <w:bottom w:val="single" w:color="2E5090" w:sz="4" w:space="1"/>
        </w:pBdr>
        <w:spacing w:before="120" w:after="120"/>
      </w:pPr>
      <w:r>
        <w:t xml:space="preserve"/>
      </w:r>
    </w:p>
    <w:p>
      <w:pPr>
        <w:spacing w:before="80" w:after="60"/>
        <w:jc w:val="center"/>
      </w:pPr>
      <w:r>
        <w:rPr>
          <w:rFonts w:ascii="Arial" w:cs="Arial" w:eastAsia="Arial" w:hAnsi="Arial"/>
          <w:b/>
          <w:bCs/>
          <w:sz w:val="24"/>
          <w:szCs w:val="24"/>
        </w:rPr>
        <w:t xml:space="preserve">Otto Beseka Isong</w:t>
      </w:r>
    </w:p>
    <w:p>
      <w:pPr>
        <w:spacing w:before="0" w:after="60"/>
        <w:jc w:val="center"/>
      </w:pPr>
      <w:r>
        <w:rPr>
          <w:rFonts w:ascii="Arial" w:cs="Arial" w:eastAsia="Arial" w:hAnsi="Arial"/>
          <w:color w:val="555555"/>
          <w:sz w:val="22"/>
          <w:szCs w:val="22"/>
        </w:rPr>
        <w:t xml:space="preserve">Genie Capital Ltd  |  ottobeseka@geniecapital.co</w:t>
      </w:r>
    </w:p>
    <w:p>
      <w:pPr>
        <w:spacing w:before="0" w:after="60"/>
        <w:jc w:val="center"/>
      </w:pPr>
      <w:r>
        <w:rPr>
          <w:rFonts w:ascii="Arial" w:cs="Arial" w:eastAsia="Arial" w:hAnsi="Arial"/>
          <w:i/>
          <w:iCs/>
          <w:color w:val="888888"/>
          <w:sz w:val="20"/>
          <w:szCs w:val="20"/>
        </w:rPr>
        <w:t xml:space="preserve">Applies to: Commitment Mathematics v4.0, Addendum 1, Law 13 (Reserve Asset)</w:t>
      </w:r>
    </w:p>
    <w:p>
      <w:pPr>
        <w:spacing w:before="0" w:after="60"/>
        <w:jc w:val="center"/>
      </w:pPr>
      <w:r>
        <w:rPr>
          <w:rFonts w:ascii="Arial" w:cs="Arial" w:eastAsia="Arial" w:hAnsi="Arial"/>
          <w:color w:val="888888"/>
          <w:sz w:val="20"/>
          <w:szCs w:val="20"/>
        </w:rPr>
        <w:t xml:space="preserve">License: CC-BY-NC-SA</w:t>
      </w:r>
    </w:p>
    <w:p>
      <w:pPr>
        <w:pBdr>
          <w:bottom w:val="single" w:color="2E5090" w:sz="4" w:space="1"/>
        </w:pBdr>
        <w:spacing w:before="120" w:after="120"/>
      </w:pPr>
      <w:r>
        <w:t xml:space="preserve"/>
      </w:r>
    </w:p>
    <w:p>
      <w:pPr>
        <w:spacing w:before="280" w:after="100"/>
      </w:pPr>
      <w:r>
        <w:rPr>
          <w:rFonts w:ascii="Arial" w:cs="Arial" w:eastAsia="Arial" w:hAnsi="Arial"/>
          <w:b/>
          <w:bCs/>
          <w:color w:val="1F3864"/>
          <w:sz w:val="24"/>
          <w:szCs w:val="24"/>
        </w:rPr>
        <w:t xml:space="preserve">Abstract</w:t>
      </w:r>
    </w:p>
    <w:p>
      <w:pPr>
        <w:pBdr>
          <w:left w:val="single" w:color="2E5090" w:sz="12" w:space="8"/>
        </w:pBdr>
        <w:shd w:fill="EEF3FB" w:val="clear"/>
        <w:spacing w:before="80" w:after="200"/>
        <w:ind w:left="360" w:right="360"/>
        <w:jc w:val="both"/>
      </w:pPr>
      <w:r>
        <w:rPr>
          <w:rFonts w:ascii="Arial" w:cs="Arial" w:eastAsia="Arial" w:hAnsi="Arial"/>
          <w:sz w:val="22"/>
          <w:szCs w:val="22"/>
        </w:rPr>
        <w:t xml:space="preserve">Traditional trade economics operates from Exchange-mode assumptions: arm's length transactions between structurally independent parties mediated by a fiat currency. This paper demonstrates that this framing is ontologically incorrect. Genuine international trade is an Interference-mode phenomenon requiring relational proximity (Rᴰ &lt; e⁻¹), frame alignment through ROT operations, and a reserve asset with V→ 1, A→ 1, T→ 1 as the common measurement anchor. We derive the structural failures of fiat as a cross-border medium of exchange, establish that the reserve asset eliminates these failures by structural necessity rather than policy preference, and show that the conservation law at Interference mode reveals coherence value Φ that Exchange-mode accounting cannot capture. The implications extend to trade architecture, international monetary design, payment network construction, and quantum-resistant identity. The framework is derived entirely from Commitment Mathematics primitives and requires no new axioms.</w:t>
      </w:r>
    </w:p>
    <w:p>
      <w:pPr>
        <w:pStyle w:val="Heading1"/>
        <w:spacing w:before="360" w:after="180"/>
      </w:pPr>
      <w:r>
        <w:rPr>
          <w:rFonts w:ascii="Arial" w:cs="Arial" w:eastAsia="Arial" w:hAnsi="Arial"/>
          <w:b/>
          <w:bCs/>
          <w:color w:val="1F3864"/>
          <w:sz w:val="32"/>
          <w:szCs w:val="32"/>
        </w:rPr>
        <w:t xml:space="preserve">1. The Ontological Error in Trade Theory</w:t>
      </w:r>
    </w:p>
    <w:p>
      <w:pPr>
        <w:spacing w:before="100" w:after="140"/>
        <w:jc w:val="both"/>
      </w:pPr>
      <w:r>
        <w:rPr>
          <w:rFonts w:ascii="Arial" w:cs="Arial" w:eastAsia="Arial" w:hAnsi="Arial"/>
          <w:sz w:val="22"/>
          <w:szCs w:val="22"/>
        </w:rPr>
        <w:t xml:space="preserve">Traditional international trade theory operates from a substantial ontology: nations are pre-existing entities that enter into exchange relationships. Trade is modelled as a sequence of transactions. The currency used to denominate those transactions is treated as a neutral veil. The relationship between trading parties is incidental to the value exchanged.</w:t>
      </w:r>
    </w:p>
    <w:p>
      <w:pPr>
        <w:spacing w:before="100" w:after="140"/>
        <w:jc w:val="both"/>
      </w:pPr>
      <w:r>
        <w:rPr>
          <w:rFonts w:ascii="Arial" w:cs="Arial" w:eastAsia="Arial" w:hAnsi="Arial"/>
          <w:sz w:val="22"/>
          <w:szCs w:val="22"/>
        </w:rPr>
        <w:t xml:space="preserve">Commitment Mathematics establishes the opposite: relations are primary. Value realization is not a scalar but a six-dimensional structure. The mode of interaction between commitment systems determines which operations are permitted, which conservation laws apply, and what value is preserved or destroyed. Applying Exchange-mode assumptions to a phenomenon that operates at Interference mode is not an approximation. It is a structural mismatch that generates systematic blind spots.</w:t>
      </w:r>
    </w:p>
    <w:p>
      <w:pPr>
        <w:pStyle w:val="Heading2"/>
        <w:spacing w:before="280" w:after="140"/>
      </w:pPr>
      <w:r>
        <w:rPr>
          <w:rFonts w:ascii="Arial" w:cs="Arial" w:eastAsia="Arial" w:hAnsi="Arial"/>
          <w:b/>
          <w:bCs/>
          <w:color w:val="2E5090"/>
          <w:sz w:val="26"/>
          <w:szCs w:val="26"/>
        </w:rPr>
        <w:t xml:space="preserve">1.1 What Exchange Mode Describes</w:t>
      </w:r>
    </w:p>
    <w:p>
      <w:pPr>
        <w:spacing w:before="100" w:after="140"/>
        <w:jc w:val="both"/>
      </w:pPr>
      <w:r>
        <w:rPr>
          <w:rFonts w:ascii="Arial" w:cs="Arial" w:eastAsia="Arial" w:hAnsi="Arial"/>
          <w:sz w:val="22"/>
          <w:szCs w:val="22"/>
        </w:rPr>
        <w:t xml:space="preserve">Exchange mode is defined by Rᴰ ∈ [e⁻¹, 1-e⁻¹) ≈ [0.368, 0.632). At this relational distance:</w:t>
      </w:r>
    </w:p>
    <w:p>
      <w:pPr>
        <w:pStyle w:val="ListParagraph"/>
        <w:numPr>
          <w:ilvl w:val="0"/>
          <w:numId w:val="2"/>
        </w:numPr>
        <w:spacing w:before="60" w:after="60"/>
      </w:pPr>
      <w:r>
        <w:rPr>
          <w:rFonts w:ascii="Arial" w:cs="Arial" w:eastAsia="Arial" w:hAnsi="Arial"/>
          <w:sz w:val="22"/>
          <w:szCs w:val="22"/>
        </w:rPr>
        <w:t xml:space="preserve">Permitted operations: CRT, INC via Medium of Exchange (CₘE), RPR, ANL</w:t>
      </w:r>
    </w:p>
    <w:p>
      <w:pPr>
        <w:pStyle w:val="ListParagraph"/>
        <w:numPr>
          <w:ilvl w:val="0"/>
          <w:numId w:val="2"/>
        </w:numPr>
        <w:spacing w:before="60" w:after="60"/>
      </w:pPr>
      <w:r>
        <w:rPr>
          <w:rFonts w:ascii="Arial" w:cs="Arial" w:eastAsia="Arial" w:hAnsi="Arial"/>
          <w:sz w:val="22"/>
          <w:szCs w:val="22"/>
        </w:rPr>
        <w:t xml:space="preserve">ROT is not permitted — frame adjustment cannot occur</w:t>
      </w:r>
    </w:p>
    <w:p>
      <w:pPr>
        <w:pStyle w:val="ListParagraph"/>
        <w:numPr>
          <w:ilvl w:val="0"/>
          <w:numId w:val="2"/>
        </w:numPr>
        <w:spacing w:before="60" w:after="60"/>
      </w:pPr>
      <w:r>
        <w:rPr>
          <w:rFonts w:ascii="Arial" w:cs="Arial" w:eastAsia="Arial" w:hAnsi="Arial"/>
          <w:sz w:val="22"/>
          <w:szCs w:val="22"/>
        </w:rPr>
        <w:t xml:space="preserve">Direct INC is not permitted — value transfer requires neutral intermediation</w:t>
      </w:r>
    </w:p>
    <w:p>
      <w:pPr>
        <w:pStyle w:val="ListParagraph"/>
        <w:numPr>
          <w:ilvl w:val="0"/>
          <w:numId w:val="2"/>
        </w:numPr>
        <w:spacing w:before="60" w:after="60"/>
      </w:pPr>
      <w:r>
        <w:rPr>
          <w:rFonts w:ascii="Arial" w:cs="Arial" w:eastAsia="Arial" w:hAnsi="Arial"/>
          <w:sz w:val="22"/>
          <w:szCs w:val="22"/>
        </w:rPr>
        <w:t xml:space="preserve">Conservation law: Σ EV conserved, Φ unchanged</w:t>
      </w:r>
    </w:p>
    <w:p>
      <w:pPr>
        <w:spacing w:before="100" w:after="140"/>
        <w:jc w:val="both"/>
      </w:pPr>
      <w:r>
        <w:rPr>
          <w:rFonts w:ascii="Arial" w:cs="Arial" w:eastAsia="Arial" w:hAnsi="Arial"/>
          <w:sz w:val="22"/>
          <w:szCs w:val="22"/>
        </w:rPr>
        <w:t xml:space="preserve">The coherence term Φᵢⱼ = 1 - Rᴰ(i,j) does not enter the conservation law. The relationship between parties carries no value in the formalism. Only exchange values transfer. This is the spot transaction: complete, value-transferring, and leaving both parties structurally unchanged.</w:t>
      </w:r>
    </w:p>
    <w:p>
      <w:pPr>
        <w:spacing w:before="100" w:after="140"/>
        <w:jc w:val="both"/>
      </w:pPr>
      <w:r>
        <w:rPr>
          <w:rFonts w:ascii="Arial" w:cs="Arial" w:eastAsia="Arial" w:hAnsi="Arial"/>
          <w:sz w:val="22"/>
          <w:szCs w:val="22"/>
        </w:rPr>
        <w:t xml:space="preserve">This accurately describes a tourist exchanging currency, a commodity sale on an open market, or a one-time procurement. It does not describe international trade.</w:t>
      </w:r>
    </w:p>
    <w:p>
      <w:pPr>
        <w:pStyle w:val="Heading2"/>
        <w:spacing w:before="280" w:after="140"/>
      </w:pPr>
      <w:r>
        <w:rPr>
          <w:rFonts w:ascii="Arial" w:cs="Arial" w:eastAsia="Arial" w:hAnsi="Arial"/>
          <w:b/>
          <w:bCs/>
          <w:color w:val="2E5090"/>
          <w:sz w:val="26"/>
          <w:szCs w:val="26"/>
        </w:rPr>
        <w:t xml:space="preserve">1.2 What International Trade Actually Requires</w:t>
      </w:r>
    </w:p>
    <w:p>
      <w:pPr>
        <w:spacing w:before="100" w:after="140"/>
        <w:jc w:val="both"/>
      </w:pPr>
      <w:r>
        <w:rPr>
          <w:rFonts w:ascii="Arial" w:cs="Arial" w:eastAsia="Arial" w:hAnsi="Arial"/>
          <w:sz w:val="22"/>
          <w:szCs w:val="22"/>
        </w:rPr>
        <w:t xml:space="preserve">International trade involves production investment calibrated to another party's demand, standards harmonization, institutional alignment, supply chain integration, and long-term contracts in stable value. Each of these is a CM operation that Exchange mode does not permit:</w:t>
      </w:r>
    </w:p>
    <w:p>
      <w:pPr>
        <w:pStyle w:val="ListParagraph"/>
        <w:numPr>
          <w:ilvl w:val="0"/>
          <w:numId w:val="2"/>
        </w:numPr>
        <w:spacing w:before="60" w:after="60"/>
      </w:pPr>
      <w:r>
        <w:rPr>
          <w:rFonts w:ascii="Arial" w:cs="Arial" w:eastAsia="Arial" w:hAnsi="Arial"/>
          <w:sz w:val="22"/>
          <w:szCs w:val="22"/>
        </w:rPr>
        <w:t xml:space="preserve">Standards harmonization is ROT: frame phase adjustment requiring Rᴰ &lt; e⁻¹</w:t>
      </w:r>
    </w:p>
    <w:p>
      <w:pPr>
        <w:pStyle w:val="ListParagraph"/>
        <w:numPr>
          <w:ilvl w:val="0"/>
          <w:numId w:val="2"/>
        </w:numPr>
        <w:spacing w:before="60" w:after="60"/>
      </w:pPr>
      <w:r>
        <w:rPr>
          <w:rFonts w:ascii="Arial" w:cs="Arial" w:eastAsia="Arial" w:hAnsi="Arial"/>
          <w:sz w:val="22"/>
          <w:szCs w:val="22"/>
        </w:rPr>
        <w:t xml:space="preserve">Direct investment is INC without CₘE mediation: requiring Interference mode or closer</w:t>
      </w:r>
    </w:p>
    <w:p>
      <w:pPr>
        <w:pStyle w:val="ListParagraph"/>
        <w:numPr>
          <w:ilvl w:val="0"/>
          <w:numId w:val="2"/>
        </w:numPr>
        <w:spacing w:before="60" w:after="60"/>
      </w:pPr>
      <w:r>
        <w:rPr>
          <w:rFonts w:ascii="Arial" w:cs="Arial" w:eastAsia="Arial" w:hAnsi="Arial"/>
          <w:sz w:val="22"/>
          <w:szCs w:val="22"/>
        </w:rPr>
        <w:t xml:space="preserve">Supply chain integration is dependency graph construction: creating network edges G = (C, E) that only hold structurally at Rᴰ &lt; e⁻¹</w:t>
      </w:r>
    </w:p>
    <w:p>
      <w:pPr>
        <w:pStyle w:val="ListParagraph"/>
        <w:numPr>
          <w:ilvl w:val="0"/>
          <w:numId w:val="2"/>
        </w:numPr>
        <w:spacing w:before="60" w:after="60"/>
      </w:pPr>
      <w:r>
        <w:rPr>
          <w:rFonts w:ascii="Arial" w:cs="Arial" w:eastAsia="Arial" w:hAnsi="Arial"/>
          <w:sz w:val="22"/>
          <w:szCs w:val="22"/>
        </w:rPr>
        <w:t xml:space="preserve">Long-term contracts require temporal T→1 in the denomination anchor: the reserve asset function</w:t>
      </w:r>
    </w:p>
    <w:p>
      <w:pPr>
        <w:spacing w:before="100" w:after="140"/>
        <w:jc w:val="both"/>
      </w:pPr>
      <w:r>
        <w:rPr>
          <w:rFonts w:ascii="Arial" w:cs="Arial" w:eastAsia="Arial" w:hAnsi="Arial"/>
          <w:sz w:val="22"/>
          <w:szCs w:val="22"/>
        </w:rPr>
        <w:t xml:space="preserve">The entire apparatus of trade agreements, bilateral investment treaties, standards bodies, and regional economic integration exists because trade operates at Interference mode. These institutions are ROT operations executed outside formal CM framing — reducing Rᴰ between national commitment networks so that direct INC and frame alignment become structurally possible.</w:t>
      </w:r>
    </w:p>
    <w:p>
      <w:pPr>
        <w:pStyle w:val="Heading1"/>
        <w:spacing w:before="360" w:after="180"/>
      </w:pPr>
      <w:r>
        <w:rPr>
          <w:rFonts w:ascii="Arial" w:cs="Arial" w:eastAsia="Arial" w:hAnsi="Arial"/>
          <w:b/>
          <w:bCs/>
          <w:color w:val="1F3864"/>
          <w:sz w:val="32"/>
          <w:szCs w:val="32"/>
        </w:rPr>
        <w:t xml:space="preserve">2. Interaction Modes and the Trade Geometry</w:t>
      </w:r>
    </w:p>
    <w:p>
      <w:pPr>
        <w:pStyle w:val="Heading2"/>
        <w:spacing w:before="280" w:after="140"/>
      </w:pPr>
      <w:r>
        <w:rPr>
          <w:rFonts w:ascii="Arial" w:cs="Arial" w:eastAsia="Arial" w:hAnsi="Arial"/>
          <w:b/>
          <w:bCs/>
          <w:color w:val="2E5090"/>
          <w:sz w:val="26"/>
          <w:szCs w:val="26"/>
        </w:rPr>
        <w:t xml:space="preserve">2.1 Mode Thresholds</w:t>
      </w:r>
    </w:p>
    <w:p>
      <w:pPr>
        <w:spacing w:before="100" w:after="140"/>
        <w:jc w:val="both"/>
      </w:pPr>
      <w:r>
        <w:rPr>
          <w:rFonts w:ascii="Arial" w:cs="Arial" w:eastAsia="Arial" w:hAnsi="Arial"/>
          <w:sz w:val="22"/>
          <w:szCs w:val="22"/>
        </w:rPr>
        <w:t xml:space="preserve">Interaction modes are defined by relational distance Rᴰ with natural thresholds derived from the efficiency function Eff(Rᴰ) = e⁻ᶜ⋅Rᴰ where c = ln 10: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880"/>
        <w:gridCol w:w="33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Rᴰ Range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Permitted Operations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Conservation Law</w:t>
            </w:r>
          </w:p>
        </w:tc>
      </w:tr>
      <w:tr>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Coupling</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 e⁻³ ≈ 0.050</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CRT, INC, ROT, JMP, RPR, ANL</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Σ(EV + k₁Φ + k₂Ψ) conserved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Interference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[e⁻³, e⁻²)</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CRT, INC, ROT, RPR, ANL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Σ(EV + k₁Φ + k₂Ψ) conserved</w:t>
            </w:r>
          </w:p>
        </w:tc>
      </w:tr>
      <w:tr>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Interference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[e⁻², e⁻¹)</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CRT, INC, ROT, RPR, ANL</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Σ(EV + k₁Φ) conserved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[e⁻¹, 1-e⁻¹)</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CRT, INC via CₘE, RPR, ANL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 EV conserved</w:t>
            </w:r>
          </w:p>
        </w:tc>
      </w:tr>
      <w:tr>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Isolation</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1-e⁻¹ ≈ 0.632</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Self-operations only</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Independent conservation</w:t>
            </w:r>
          </w:p>
        </w:tc>
      </w:tr>
    </w:tbl>
    <w:p>
      <w:pPr>
        <w:spacing w:before="120" w:after="120"/>
      </w:pPr>
    </w:p>
    <w:p>
      <w:pPr>
        <w:pStyle w:val="Heading2"/>
        <w:spacing w:before="280" w:after="140"/>
      </w:pPr>
      <w:r>
        <w:rPr>
          <w:rFonts w:ascii="Arial" w:cs="Arial" w:eastAsia="Arial" w:hAnsi="Arial"/>
          <w:b/>
          <w:bCs/>
          <w:color w:val="2E5090"/>
          <w:sz w:val="26"/>
          <w:szCs w:val="26"/>
        </w:rPr>
        <w:t xml:space="preserve">2.2 The Interference Mode Conservation Law</w:t>
      </w:r>
    </w:p>
    <w:p>
      <w:pPr>
        <w:spacing w:before="100" w:after="140"/>
        <w:jc w:val="both"/>
      </w:pPr>
      <w:r>
        <w:rPr>
          <w:rFonts w:ascii="Arial" w:cs="Arial" w:eastAsia="Arial" w:hAnsi="Arial"/>
          <w:sz w:val="22"/>
          <w:szCs w:val="22"/>
        </w:rPr>
        <w:t xml:space="preserve">At Interference mode, the conservation law is:</w:t>
      </w:r>
    </w:p>
    <w:p>
      <w:pPr>
        <w:spacing w:before="120" w:after="120"/>
        <w:jc w:val="center"/>
      </w:pPr>
      <w:r>
        <w:rPr>
          <w:rFonts w:ascii="Courier New" w:cs="Courier New" w:eastAsia="Courier New" w:hAnsi="Courier New"/>
          <w:i/>
          <w:iCs/>
          <w:color w:val="1F3864"/>
          <w:sz w:val="22"/>
          <w:szCs w:val="22"/>
        </w:rPr>
        <w:t xml:space="preserve">Σ(EV + k₁Φ) conserved   where k₁ = ln 2, Φᵢⱼ = 1 - Rᴰ(i,j)</w:t>
      </w:r>
    </w:p>
    <w:p>
      <w:pPr>
        <w:spacing w:before="100" w:after="140"/>
        <w:jc w:val="both"/>
      </w:pPr>
      <w:r>
        <w:rPr>
          <w:rFonts w:ascii="Arial" w:cs="Arial" w:eastAsia="Arial" w:hAnsi="Arial"/>
          <w:sz w:val="22"/>
          <w:szCs w:val="22"/>
        </w:rPr>
        <w:t xml:space="preserve">Coherence Φ now enters the conservation law. The relationship itself carries value. When Rᴰ decreases through ROT and sustained INC, Φᵢⱼ increases. This increase is real conserved value — it accumulates in the relational structure and does not appear in any individual transaction.</w:t>
      </w:r>
    </w:p>
    <w:p>
      <w:pPr>
        <w:spacing w:before="100" w:after="140"/>
        <w:jc w:val="both"/>
      </w:pPr>
      <w:r>
        <w:rPr>
          <w:rFonts w:ascii="Arial" w:cs="Arial" w:eastAsia="Arial" w:hAnsi="Arial"/>
          <w:sz w:val="22"/>
          <w:szCs w:val="22"/>
        </w:rPr>
        <w:t xml:space="preserve">This is the CM formalization of what traditional trade theory cannot capture: the value of a trade relationship exceeds the sum of individual transactions. The coherence premium is not sentiment or goodwill. It is a conserved quantity with a precise mathematical definition.</w:t>
      </w:r>
    </w:p>
    <w:p>
      <w:pPr>
        <w:pStyle w:val="Heading2"/>
        <w:spacing w:before="280" w:after="140"/>
      </w:pPr>
      <w:r>
        <w:rPr>
          <w:rFonts w:ascii="Arial" w:cs="Arial" w:eastAsia="Arial" w:hAnsi="Arial"/>
          <w:b/>
          <w:bCs/>
          <w:color w:val="2E5090"/>
          <w:sz w:val="26"/>
          <w:szCs w:val="26"/>
        </w:rPr>
        <w:t xml:space="preserve">2.3 Constructive and Destructive Interference</w:t>
      </w:r>
    </w:p>
    <w:p>
      <w:pPr>
        <w:spacing w:before="100" w:after="140"/>
        <w:jc w:val="both"/>
      </w:pPr>
      <w:r>
        <w:rPr>
          <w:rFonts w:ascii="Arial" w:cs="Arial" w:eastAsia="Arial" w:hAnsi="Arial"/>
          <w:sz w:val="22"/>
          <w:szCs w:val="22"/>
        </w:rPr>
        <w:t xml:space="preserve">At Interference mode, the combined framed value depends on phase difference Δθ between the productive frames of trading nations:</w:t>
      </w:r>
    </w:p>
    <w:p>
      <w:pPr>
        <w:pStyle w:val="ListParagraph"/>
        <w:numPr>
          <w:ilvl w:val="0"/>
          <w:numId w:val="2"/>
        </w:numPr>
        <w:spacing w:before="60" w:after="60"/>
      </w:pPr>
      <w:r>
        <w:rPr>
          <w:rFonts w:ascii="Arial" w:cs="Arial" w:eastAsia="Arial" w:hAnsi="Arial"/>
          <w:sz w:val="22"/>
          <w:szCs w:val="22"/>
        </w:rPr>
        <w:t xml:space="preserve">cos(Δθ) ≈ 1 (constructive interference): Trade amplifies value for both parties. Complementary productive capacities with aligned frames generate value exceeding what either party produces independently. This is comparative advantage in its full relational form.</w:t>
      </w:r>
    </w:p>
    <w:p>
      <w:pPr>
        <w:pStyle w:val="ListParagraph"/>
        <w:numPr>
          <w:ilvl w:val="0"/>
          <w:numId w:val="2"/>
        </w:numPr>
        <w:spacing w:before="60" w:after="60"/>
      </w:pPr>
      <w:r>
        <w:rPr>
          <w:rFonts w:ascii="Arial" w:cs="Arial" w:eastAsia="Arial" w:hAnsi="Arial"/>
          <w:sz w:val="22"/>
          <w:szCs w:val="22"/>
        </w:rPr>
        <w:t xml:space="preserve">cos(Δθ) ≈ -1 (destructive interference): Trade destroys value. Competing for the same productive space with opposed frames. Trade wars, currency manipulation, and mercantilist policies are destructive interference patterns.</w:t>
      </w:r>
    </w:p>
    <w:p>
      <w:pPr>
        <w:spacing w:before="100" w:after="140"/>
        <w:jc w:val="both"/>
      </w:pPr>
      <w:r>
        <w:rPr>
          <w:rFonts w:ascii="Arial" w:cs="Arial" w:eastAsia="Arial" w:hAnsi="Arial"/>
          <w:sz w:val="22"/>
          <w:szCs w:val="22"/>
        </w:rPr>
        <w:t xml:space="preserve">Comparative advantage is not a static endowment discovered from factor ratios. It is a dynamic state where cos(Δθ) ≈ 1 between two nations’ productive frames. It is achieved through ROT — deliberate alignment of productive specialization. It is constructed, not found.</w:t>
      </w:r>
    </w:p>
    <w:p>
      <w:pPr>
        <w:pStyle w:val="Heading1"/>
        <w:spacing w:before="360" w:after="180"/>
      </w:pPr>
      <w:r>
        <w:rPr>
          <w:rFonts w:ascii="Arial" w:cs="Arial" w:eastAsia="Arial" w:hAnsi="Arial"/>
          <w:b/>
          <w:bCs/>
          <w:color w:val="1F3864"/>
          <w:sz w:val="32"/>
          <w:szCs w:val="32"/>
        </w:rPr>
        <w:t xml:space="preserve">3. The Reserve Asset as Common Frame Anchor</w:t>
      </w:r>
    </w:p>
    <w:p>
      <w:pPr>
        <w:pStyle w:val="Heading2"/>
        <w:spacing w:before="280" w:after="140"/>
      </w:pPr>
      <w:r>
        <w:rPr>
          <w:rFonts w:ascii="Arial" w:cs="Arial" w:eastAsia="Arial" w:hAnsi="Arial"/>
          <w:b/>
          <w:bCs/>
          <w:color w:val="2E5090"/>
          <w:sz w:val="26"/>
          <w:szCs w:val="26"/>
        </w:rPr>
        <w:t xml:space="preserve">3.1 The Full Anchor Parameter Profile</w:t>
      </w:r>
    </w:p>
    <w:p>
      <w:pPr>
        <w:spacing w:before="100" w:after="140"/>
        <w:jc w:val="both"/>
      </w:pPr>
      <w:r>
        <w:rPr>
          <w:rFonts w:ascii="Arial" w:cs="Arial" w:eastAsia="Arial" w:hAnsi="Arial"/>
          <w:sz w:val="22"/>
          <w:szCs w:val="22"/>
        </w:rPr>
        <w:t xml:space="preserve">Law 13 establishes six qualification criteria for a reserve asset. These criteria map precisely to the CM anchor parameter structure. A qualifying reserve asset achieves:</w:t>
      </w:r>
    </w:p>
    <w:p>
      <w:pPr>
        <w:spacing w:before="120" w:after="120"/>
        <w:jc w:val="center"/>
      </w:pPr>
      <w:r>
        <w:rPr>
          <w:rFonts w:ascii="Courier New" w:cs="Courier New" w:eastAsia="Courier New" w:hAnsi="Courier New"/>
          <w:i/>
          <w:iCs/>
          <w:color w:val="1F3864"/>
          <w:sz w:val="22"/>
          <w:szCs w:val="22"/>
        </w:rPr>
        <w:t xml:space="preserve">V → 1,  A → 1,  T → 1</w:t>
      </w:r>
    </w:p>
    <w:p>
      <w:pPr>
        <w:spacing w:before="100" w:after="140"/>
        <w:jc w:val="both"/>
      </w:pPr>
      <w:r>
        <w:rPr>
          <w:rFonts w:ascii="Arial" w:cs="Arial" w:eastAsia="Arial" w:hAnsi="Arial"/>
          <w:sz w:val="22"/>
          <w:szCs w:val="22"/>
        </w:rPr>
        <w:t xml:space="preserve">Each parameter reaches its maximum for a specific structural reason:</w:t>
      </w:r>
    </w:p>
    <w:p>
      <w:pPr>
        <w:pStyle w:val="ListParagraph"/>
        <w:numPr>
          <w:ilvl w:val="0"/>
          <w:numId w:val="2"/>
        </w:numPr>
        <w:spacing w:before="60" w:after="60"/>
      </w:pPr>
      <w:r>
        <w:rPr>
          <w:rFonts w:ascii="Arial" w:cs="Arial" w:eastAsia="Arial" w:hAnsi="Arial"/>
          <w:sz w:val="22"/>
          <w:szCs w:val="22"/>
        </w:rPr>
        <w:t xml:space="preserve">V→1 (Frame stability across jurisdictions): Visibility is maximum because the reserve asset’s frame is stable across all jurisdictions simultaneously. No jurisdiction can deny observability. Physical verifiability achieves V→1 without institutional support.</w:t>
      </w:r>
    </w:p>
    <w:p>
      <w:pPr>
        <w:pStyle w:val="ListParagraph"/>
        <w:numPr>
          <w:ilvl w:val="0"/>
          <w:numId w:val="2"/>
        </w:numPr>
        <w:spacing w:before="60" w:after="60"/>
      </w:pPr>
      <w:r>
        <w:rPr>
          <w:rFonts w:ascii="Arial" w:cs="Arial" w:eastAsia="Arial" w:hAnsi="Arial"/>
          <w:sz w:val="22"/>
          <w:szCs w:val="22"/>
        </w:rPr>
        <w:t xml:space="preserve">A→1 (Structural independence): Assurance measures the stability of value realization. For any commitment backed by a Liable Authority, A &lt; 1 because the Liable Authority can fail. The reserve asset has no single Liable Authority. No entity can default on gold. A→1 is achieved precisely because structural independence eliminates counterparty risk.</w:t>
      </w:r>
    </w:p>
    <w:p>
      <w:pPr>
        <w:pStyle w:val="ListParagraph"/>
        <w:numPr>
          <w:ilvl w:val="0"/>
          <w:numId w:val="2"/>
        </w:numPr>
        <w:spacing w:before="60" w:after="60"/>
      </w:pPr>
      <w:r>
        <w:rPr>
          <w:rFonts w:ascii="Arial" w:cs="Arial" w:eastAsia="Arial" w:hAnsi="Arial"/>
          <w:sz w:val="22"/>
          <w:szCs w:val="22"/>
        </w:rPr>
        <w:t xml:space="preserve">T→1 (Continuity across time): Transferability is not only spatial — it is temporal. T→1 means value propagates forward through time without structural degradation. The three-phase lifecycle (genesis parity, controlled degradation of the operational currency, generational reset) is the mechanism that maintains T→1 across generations.</w:t>
      </w:r>
    </w:p>
    <w:p>
      <w:pPr>
        <w:pStyle w:val="Heading2"/>
        <w:spacing w:before="280" w:after="140"/>
      </w:pPr>
      <w:r>
        <w:rPr>
          <w:rFonts w:ascii="Arial" w:cs="Arial" w:eastAsia="Arial" w:hAnsi="Arial"/>
          <w:b/>
          <w:bCs/>
          <w:color w:val="2E5090"/>
          <w:sz w:val="26"/>
          <w:szCs w:val="26"/>
        </w:rPr>
        <w:t xml:space="preserve">3.2 The 2×CV₀ Bound Is the Realized Value Ceiling</w:t>
      </w:r>
    </w:p>
    <w:p>
      <w:pPr>
        <w:spacing w:before="100" w:after="140"/>
        <w:jc w:val="both"/>
      </w:pPr>
      <w:r>
        <w:rPr>
          <w:rFonts w:ascii="Arial" w:cs="Arial" w:eastAsia="Arial" w:hAnsi="Arial"/>
          <w:sz w:val="22"/>
          <w:szCs w:val="22"/>
        </w:rPr>
        <w:t xml:space="preserve">With V→1, A→1, T→1, the realized value formula gives:</w:t>
      </w:r>
    </w:p>
    <w:p>
      <w:pPr>
        <w:spacing w:before="120" w:after="120"/>
        <w:jc w:val="center"/>
      </w:pPr>
      <w:r>
        <w:rPr>
          <w:rFonts w:ascii="Courier New" w:cs="Courier New" w:eastAsia="Courier New" w:hAnsi="Courier New"/>
          <w:i/>
          <w:iCs/>
          <w:color w:val="1F3864"/>
          <w:sz w:val="22"/>
          <w:szCs w:val="22"/>
        </w:rPr>
        <w:t xml:space="preserve">V̂ᴴ(C) = CV₀ · V · A · (1+T) → CV₀ · 1 · 1 · 2 = 2 · CV₀</w:t>
      </w:r>
    </w:p>
    <w:p>
      <w:pPr>
        <w:spacing w:before="100" w:after="140"/>
        <w:jc w:val="both"/>
      </w:pPr>
      <w:r>
        <w:rPr>
          <w:rFonts w:ascii="Arial" w:cs="Arial" w:eastAsia="Arial" w:hAnsi="Arial"/>
          <w:sz w:val="22"/>
          <w:szCs w:val="22"/>
        </w:rPr>
        <w:t xml:space="preserve">This is the upper bound from Theorem 2.2: the maximum realized value is 2·CV₀, achieved only when V = A = T = 1. The reserve asset is the only commitment that structurally reaches this bound. The 2×CV₀ phantom value constraint in Law 13 is not empirical observation — it is the mathematical maximum of the realized value formula. Every overshoot above this bound is a violation of the realized value formula.</w:t>
      </w:r>
    </w:p>
    <w:p>
      <w:pPr>
        <w:spacing w:before="100" w:after="140"/>
        <w:jc w:val="both"/>
      </w:pPr>
      <w:r>
        <w:rPr>
          <w:rFonts w:ascii="Arial" w:cs="Arial" w:eastAsia="Arial" w:hAnsi="Arial"/>
          <w:sz w:val="22"/>
          <w:szCs w:val="22"/>
        </w:rPr>
        <w:t xml:space="preserve">The valuation gap at this maximum is:</w:t>
      </w:r>
    </w:p>
    <w:p>
      <w:pPr>
        <w:spacing w:before="120" w:after="120"/>
        <w:jc w:val="center"/>
      </w:pPr>
      <w:r>
        <w:rPr>
          <w:rFonts w:ascii="Courier New" w:cs="Courier New" w:eastAsia="Courier New" w:hAnsi="Courier New"/>
          <w:i/>
          <w:iCs/>
          <w:color w:val="1F3864"/>
          <w:sz w:val="22"/>
          <w:szCs w:val="22"/>
        </w:rPr>
        <w:t xml:space="preserve">ΔV(C) = CV₀ · [V · A · (1+T) - 1] → CV₀ · [2 - 1] = CV₀</w:t>
      </w:r>
    </w:p>
    <w:p>
      <w:pPr>
        <w:spacing w:before="100" w:after="140"/>
        <w:jc w:val="both"/>
      </w:pPr>
      <w:r>
        <w:rPr>
          <w:rFonts w:ascii="Arial" w:cs="Arial" w:eastAsia="Arial" w:hAnsi="Arial"/>
          <w:sz w:val="22"/>
          <w:szCs w:val="22"/>
        </w:rPr>
        <w:t xml:space="preserve">The compensation required to bridge this gap equals CV₀ itself. This is the monetary premium. It is the compensation term that bridges the gap when V·A·(1+T)→2. It is structurally necessary, not psychologically constructed.</w:t>
      </w:r>
    </w:p>
    <w:p>
      <w:pPr>
        <w:pStyle w:val="Heading2"/>
        <w:spacing w:before="280" w:after="140"/>
      </w:pPr>
      <w:r>
        <w:rPr>
          <w:rFonts w:ascii="Arial" w:cs="Arial" w:eastAsia="Arial" w:hAnsi="Arial"/>
          <w:b/>
          <w:bCs/>
          <w:color w:val="2E5090"/>
          <w:sz w:val="26"/>
          <w:szCs w:val="26"/>
        </w:rPr>
        <w:t xml:space="preserve">3.3 The Dependency Hierarchy Derived</w:t>
      </w:r>
    </w:p>
    <w:p>
      <w:pPr>
        <w:spacing w:before="100" w:after="140"/>
        <w:jc w:val="both"/>
      </w:pPr>
      <w:r>
        <w:rPr>
          <w:rFonts w:ascii="Arial" w:cs="Arial" w:eastAsia="Arial" w:hAnsi="Arial"/>
          <w:sz w:val="22"/>
          <w:szCs w:val="22"/>
        </w:rPr>
        <w:t xml:space="preserve">The hierarchy CVᴿᵉˢᵉʳᶛᵉ ≥ CVᶜᵁʳʳᵉʳᶜʸ ≥ CVᵈᵉᵇᵗ ≥ CVᵈᵉʳᵢᶛᵆᵗᵢᶛᵉ follows directly from anchor parameters through the realized value formula. Anchor parameters are not absolute properties of a commitment — they are evaluated from the perspective of H. The same commitment has different realized anchor values for a domestic H and a foreign H:</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720"/>
        <w:gridCol w:w="720"/>
        <w:gridCol w:w="1440"/>
        <w:gridCol w:w="2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 Perspective</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V·A·(1+T)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Realized Multiple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Reserve asset</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Any (jurisdiction-invariant)</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→2·CV₀</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H</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2·CV₀</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Operational currency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Foreign H</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1.5·CV₀</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Derivative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Any</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 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 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 1</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decays by e⁻ᵋd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CV₀</w:t>
            </w:r>
          </w:p>
        </w:tc>
      </w:tr>
    </w:tbl>
    <w:p>
      <w:pPr>
        <w:spacing w:before="120" w:after="120"/>
      </w:pPr>
    </w:p>
    <w:p>
      <w:pPr>
        <w:spacing w:before="100" w:after="140"/>
        <w:jc w:val="both"/>
      </w:pPr>
      <w:r>
        <w:rPr>
          <w:rFonts w:ascii="Arial" w:cs="Arial" w:eastAsia="Arial" w:hAnsi="Arial"/>
          <w:sz w:val="22"/>
          <w:szCs w:val="22"/>
        </w:rPr>
        <w:t xml:space="preserve">The reserve asset row is the same for every H. The operational currency rows are not. This is the source of structural failure in cross-border trade, developed fully in Sections 3.4 and 4.</w:t>
      </w:r>
    </w:p>
    <w:p>
      <w:pPr>
        <w:spacing w:before="100" w:after="140"/>
        <w:jc w:val="both"/>
      </w:pPr>
      <w:r>
        <w:rPr>
          <w:rFonts w:ascii="Arial" w:cs="Arial" w:eastAsia="Arial" w:hAnsi="Arial"/>
          <w:sz w:val="22"/>
          <w:szCs w:val="22"/>
        </w:rPr>
        <w:t xml:space="preserve">This hierarchy is not imposed by law or convention. Violations — derivatives claiming equivalence to debt, as in 2008 — are claims that anchor parameters are higher than they actually are. The correction that follows is the formula reasserting itself.</w:t>
      </w:r>
    </w:p>
    <w:p>
      <w:pPr>
        <w:pStyle w:val="Heading2"/>
        <w:spacing w:before="280" w:after="140"/>
      </w:pPr>
      <w:r>
        <w:rPr>
          <w:rFonts w:ascii="Arial" w:cs="Arial" w:eastAsia="Arial" w:hAnsi="Arial"/>
          <w:b/>
          <w:bCs/>
          <w:color w:val="2E5090"/>
          <w:sz w:val="26"/>
          <w:szCs w:val="26"/>
        </w:rPr>
        <w:t xml:space="preserve">3.4 The Perspective Problem: Domestic vs. Foreign H</w:t>
      </w:r>
    </w:p>
    <w:p>
      <w:pPr>
        <w:spacing w:before="100" w:after="140"/>
        <w:jc w:val="both"/>
      </w:pPr>
      <w:r>
        <w:rPr>
          <w:rFonts w:ascii="Arial" w:cs="Arial" w:eastAsia="Arial" w:hAnsi="Arial"/>
          <w:sz w:val="22"/>
          <w:szCs w:val="22"/>
        </w:rPr>
        <w:t xml:space="preserve">The anchor parameters V, A, T are properties of a commitment as evaluated by H. The domestic H of an operational currency and the foreign H of the same commitment are in structurally different observational and enforcement positions. This difference is not a matter of information asymmetry that better disclosure could resolve. It is a structural consequence of H's relationship to the Liable Authority.</w:t>
      </w:r>
    </w:p>
    <w:p>
      <w:pPr>
        <w:spacing w:before="200" w:after="100"/>
      </w:pPr>
      <w:r>
        <w:rPr>
          <w:rFonts w:ascii="Arial" w:cs="Arial" w:eastAsia="Arial" w:hAnsi="Arial"/>
          <w:b/>
          <w:bCs/>
          <w:color w:val="2E5090"/>
          <w:sz w:val="24"/>
          <w:szCs w:val="24"/>
        </w:rPr>
        <w:t xml:space="preserve">V → 0 for the Foreign H</w:t>
      </w:r>
    </w:p>
    <w:p>
      <w:pPr>
        <w:spacing w:before="100" w:after="140"/>
        <w:jc w:val="both"/>
      </w:pPr>
      <w:r>
        <w:rPr>
          <w:rFonts w:ascii="Arial" w:cs="Arial" w:eastAsia="Arial" w:hAnsi="Arial"/>
          <w:sz w:val="22"/>
          <w:szCs w:val="22"/>
        </w:rPr>
        <w:t xml:space="preserve">Visibility is the capacity of H to observe and access the commitment's value. The domestic H observes fiscal position, institutional integrity, and policy direction through direct participation: prices they transact at, courts they can access, political processes they can join. Their V is grounded in lived experience of the Liable Authority's actual conduct.</w:t>
      </w:r>
    </w:p>
    <w:p>
      <w:pPr>
        <w:spacing w:before="100" w:after="140"/>
        <w:jc w:val="both"/>
      </w:pPr>
      <w:r>
        <w:rPr>
          <w:rFonts w:ascii="Arial" w:cs="Arial" w:eastAsia="Arial" w:hAnsi="Arial"/>
          <w:sz w:val="22"/>
          <w:szCs w:val="22"/>
        </w:rPr>
        <w:t xml:space="preserve">The foreign H observes the same Liable Authority only through curated channels: financial press, ratings agencies, diplomatic signals, and market prices. These channels are produced by the issuing sovereign's own institutional apparatus or by intermediaries with interests independent of H. The foreign H cannot verify the underlying performance independently. V measures what H can actually observe. The foreign H observes a representation, not the performance itself. V → 0 is the structural consequence of the foreign H having no direct observational access to the Liable Authority's actual conduct.</w:t>
      </w:r>
    </w:p>
    <w:p>
      <w:pPr>
        <w:spacing w:before="200" w:after="100"/>
      </w:pPr>
      <w:r>
        <w:rPr>
          <w:rFonts w:ascii="Arial" w:cs="Arial" w:eastAsia="Arial" w:hAnsi="Arial"/>
          <w:b/>
          <w:bCs/>
          <w:color w:val="2E5090"/>
          <w:sz w:val="24"/>
          <w:szCs w:val="24"/>
        </w:rPr>
        <w:t xml:space="preserve">A → 0 for the Foreign H</w:t>
      </w:r>
    </w:p>
    <w:p>
      <w:pPr>
        <w:spacing w:before="100" w:after="140"/>
        <w:jc w:val="both"/>
      </w:pPr>
      <w:r>
        <w:rPr>
          <w:rFonts w:ascii="Arial" w:cs="Arial" w:eastAsia="Arial" w:hAnsi="Arial"/>
          <w:sz w:val="22"/>
          <w:szCs w:val="22"/>
        </w:rPr>
        <w:t xml:space="preserve">Assurance measures the stability of value realization. For the domestic H, assurance is partially grounded in institutional continuity: legal protections, deposit insurance, the expectation that the system functions tomorrow as it did today.</w:t>
      </w:r>
    </w:p>
    <w:p>
      <w:pPr>
        <w:spacing w:before="100" w:after="140"/>
        <w:jc w:val="both"/>
      </w:pPr>
      <w:r>
        <w:rPr>
          <w:rFonts w:ascii="Arial" w:cs="Arial" w:eastAsia="Arial" w:hAnsi="Arial"/>
          <w:sz w:val="22"/>
          <w:szCs w:val="22"/>
        </w:rPr>
        <w:t xml:space="preserve">For the foreign H, assurance depends entirely on the issuing sovereign's willingness to honour the commitment's value for non-domestic holders. This is discretionary. Sanctions, capital controls, asset freezes, and correspondent bank compliance decisions are all exercises of the issuing sovereign's discretion to set A → 0 for specific foreign holders at any time without judicial process or notice. The foreign H has no recourse when this occurs. More fundamentally, A is grounded in H's ability to verify and enforce the commitment. The foreign H can do neither. A is structurally ungrounded for the foreign holder.</w:t>
      </w:r>
    </w:p>
    <w:p>
      <w:pPr>
        <w:spacing w:before="200" w:after="100"/>
      </w:pPr>
      <w:r>
        <w:rPr>
          <w:rFonts w:ascii="Arial" w:cs="Arial" w:eastAsia="Arial" w:hAnsi="Arial"/>
          <w:b/>
          <w:bCs/>
          <w:color w:val="2E5090"/>
          <w:sz w:val="24"/>
          <w:szCs w:val="24"/>
        </w:rPr>
        <w:t xml:space="preserve">T → 0 for the Foreign H</w:t>
      </w:r>
    </w:p>
    <w:p>
      <w:pPr>
        <w:spacing w:before="100" w:after="140"/>
        <w:jc w:val="both"/>
      </w:pPr>
      <w:r>
        <w:rPr>
          <w:rFonts w:ascii="Arial" w:cs="Arial" w:eastAsia="Arial" w:hAnsi="Arial"/>
          <w:sz w:val="22"/>
          <w:szCs w:val="22"/>
        </w:rPr>
        <w:t xml:space="preserve">Transferability for the foreign H is not the domestic T → 1. Cross-border transfer of operational currency requires correspondent banking intermediation, SWIFT access, FX conversion, capital account openness, and AML/KYC compliance gates. Each of these is a condition on T that the foreign H cannot guarantee. Any one of them can be set to zero unilaterally by the issuing sovereign, the receiving sovereign, or an intermediary. T → 0 is the structural default that T &gt; 0 must be actively maintained against, at cost, by intermediaries whose interests do not align with H.</w:t>
      </w:r>
    </w:p>
    <w:p>
      <w:pPr>
        <w:spacing w:before="200" w:after="100"/>
      </w:pPr>
      <w:r>
        <w:rPr>
          <w:rFonts w:ascii="Arial" w:cs="Arial" w:eastAsia="Arial" w:hAnsi="Arial"/>
          <w:b/>
          <w:bCs/>
          <w:color w:val="2E5090"/>
          <w:sz w:val="24"/>
          <w:szCs w:val="24"/>
        </w:rPr>
        <w:t xml:space="preserve">The Realized Value Collapse</w:t>
      </w:r>
    </w:p>
    <w:p>
      <w:pPr>
        <w:spacing w:before="100" w:after="140"/>
        <w:jc w:val="both"/>
      </w:pPr>
      <w:r>
        <w:rPr>
          <w:rFonts w:ascii="Arial" w:cs="Arial" w:eastAsia="Arial" w:hAnsi="Arial"/>
          <w:sz w:val="22"/>
          <w:szCs w:val="22"/>
        </w:rPr>
        <w:t xml:space="preserve">With V → 0, A → 0, T → 0 for the foreign H:</w:t>
      </w:r>
    </w:p>
    <w:p>
      <w:pPr>
        <w:spacing w:before="120" w:after="120"/>
        <w:jc w:val="center"/>
      </w:pPr>
      <w:r>
        <w:rPr>
          <w:rFonts w:ascii="Courier New" w:cs="Courier New" w:eastAsia="Courier New" w:hAnsi="Courier New"/>
          <w:i/>
          <w:iCs/>
          <w:color w:val="1F3864"/>
          <w:sz w:val="22"/>
          <w:szCs w:val="22"/>
        </w:rPr>
        <w:t xml:space="preserve">V̂ᴴ(C_currency, foreign H) = CV₀ · V · A · (1+T) → CV₀ · 0 · 0 · 1 = 0</w:t>
      </w:r>
    </w:p>
    <w:p>
      <w:pPr>
        <w:spacing w:before="100" w:after="140"/>
        <w:jc w:val="both"/>
      </w:pPr>
      <w:r>
        <w:rPr>
          <w:rFonts w:ascii="Arial" w:cs="Arial" w:eastAsia="Arial" w:hAnsi="Arial"/>
          <w:sz w:val="22"/>
          <w:szCs w:val="22"/>
        </w:rPr>
        <w:t xml:space="preserve">The valuation gap becomes:</w:t>
      </w:r>
    </w:p>
    <w:p>
      <w:pPr>
        <w:spacing w:before="120" w:after="120"/>
        <w:jc w:val="center"/>
      </w:pPr>
      <w:r>
        <w:rPr>
          <w:rFonts w:ascii="Courier New" w:cs="Courier New" w:eastAsia="Courier New" w:hAnsi="Courier New"/>
          <w:i/>
          <w:iCs/>
          <w:color w:val="1F3864"/>
          <w:sz w:val="22"/>
          <w:szCs w:val="22"/>
        </w:rPr>
        <w:t xml:space="preserve">ΔV(C_currency, foreign H) = CV₀ · [0 - 1] = -CV₀</w:t>
      </w:r>
    </w:p>
    <w:p>
      <w:pPr>
        <w:spacing w:before="100" w:after="140"/>
        <w:jc w:val="both"/>
      </w:pPr>
      <w:r>
        <w:rPr>
          <w:rFonts w:ascii="Arial" w:cs="Arial" w:eastAsia="Arial" w:hAnsi="Arial"/>
          <w:sz w:val="22"/>
          <w:szCs w:val="22"/>
        </w:rPr>
        <w:t xml:space="preserve">The gap is negative and equals the full base value. The Liable Authority holds a liability of CV₀. The foreign H holds a commitment from which they can realize approximately zero. The entire CV₀ is an uncompensated obligation on the issuer's side and a structurally worthless holding on the foreign H's side.</w:t>
      </w:r>
    </w:p>
    <w:p>
      <w:pPr>
        <w:spacing w:before="100" w:after="140"/>
        <w:jc w:val="both"/>
      </w:pPr>
      <w:r>
        <w:rPr>
          <w:rFonts w:ascii="Arial" w:cs="Arial" w:eastAsia="Arial" w:hAnsi="Arial"/>
          <w:sz w:val="22"/>
          <w:szCs w:val="22"/>
        </w:rPr>
        <w:t xml:space="preserve">The compensation term required to bridge this gap is ||Comp_foreign|| ≥ CV₀. The foreign holder must receive compensation equal to the full base value simply to make holding the commitment rational. This compensation arrives as yield, reserve status privilege, geopolitical alignment, market access, or security guarantees. When these compensations are withdrawn — through sanctions, political realignment, or reserve diversification — the foreign holder is holding a commitment with realized value approaching zero and no compensation bridging the gap. The rational response is exit.</w:t>
      </w:r>
    </w:p>
    <w:p>
      <w:pPr>
        <w:spacing w:before="200" w:after="100"/>
      </w:pPr>
      <w:r>
        <w:rPr>
          <w:rFonts w:ascii="Arial" w:cs="Arial" w:eastAsia="Arial" w:hAnsi="Arial"/>
          <w:b/>
          <w:bCs/>
          <w:color w:val="2E5090"/>
          <w:sz w:val="24"/>
          <w:szCs w:val="24"/>
        </w:rPr>
        <w:t xml:space="preserve">Why Sanctions Are Structurally Self-Defeating</w:t>
      </w:r>
    </w:p>
    <w:p>
      <w:pPr>
        <w:spacing w:before="100" w:after="140"/>
        <w:jc w:val="both"/>
      </w:pPr>
      <w:r>
        <w:rPr>
          <w:rFonts w:ascii="Arial" w:cs="Arial" w:eastAsia="Arial" w:hAnsi="Arial"/>
          <w:sz w:val="22"/>
          <w:szCs w:val="22"/>
        </w:rPr>
        <w:t xml:space="preserve">Each exercise of sanctions or asset freezes does not only set A → 0 for the targeted nation. It updates the A parameter in the realized value calculation for every foreign H globally. The observation by all foreign holders is:</w:t>
      </w:r>
    </w:p>
    <w:p>
      <w:pPr>
        <w:spacing w:before="120" w:after="120"/>
        <w:jc w:val="center"/>
      </w:pPr>
      <w:r>
        <w:rPr>
          <w:rFonts w:ascii="Courier New" w:cs="Courier New" w:eastAsia="Courier New" w:hAnsi="Courier New"/>
          <w:i/>
          <w:iCs/>
          <w:color w:val="1F3864"/>
          <w:sz w:val="22"/>
          <w:szCs w:val="22"/>
        </w:rPr>
        <w:t xml:space="preserve">A_foreign = f(observed willingness to set A → 0 for others)</w:t>
      </w:r>
    </w:p>
    <w:p>
      <w:pPr>
        <w:spacing w:before="100" w:after="140"/>
        <w:jc w:val="both"/>
      </w:pPr>
      <w:r>
        <w:rPr>
          <w:rFonts w:ascii="Arial" w:cs="Arial" w:eastAsia="Arial" w:hAnsi="Arial"/>
          <w:sz w:val="22"/>
          <w:szCs w:val="22"/>
        </w:rPr>
        <w:t xml:space="preserve">Every sanctions event is a data point reducing A_foreign for all non-domestic holders simultaneously. The issuing sovereign believes it is targeting one party. Structurally, it is publishing its A → 0 capability to every foreign H globally — reducing A_foreign for the entire population of non-domestic holders. The SWIFT exclusion of Russia in 2022 was a global announcement that T → 0 can be executed unilaterally for any foreign holder. Every foreign central bank updated its A_foreign calculation the same day.</w:t>
      </w:r>
    </w:p>
    <w:p>
      <w:pPr>
        <w:spacing w:before="200" w:after="100"/>
      </w:pPr>
      <w:r>
        <w:rPr>
          <w:rFonts w:ascii="Arial" w:cs="Arial" w:eastAsia="Arial" w:hAnsi="Arial"/>
          <w:b/>
          <w:bCs/>
          <w:color w:val="2E5090"/>
          <w:sz w:val="24"/>
          <w:szCs w:val="24"/>
        </w:rPr>
        <w:t xml:space="preserve">The Triffin Dilemma Restated</w:t>
      </w:r>
    </w:p>
    <w:p>
      <w:pPr>
        <w:spacing w:before="100" w:after="140"/>
        <w:jc w:val="both"/>
      </w:pPr>
      <w:r>
        <w:rPr>
          <w:rFonts w:ascii="Arial" w:cs="Arial" w:eastAsia="Arial" w:hAnsi="Arial"/>
          <w:sz w:val="22"/>
          <w:szCs w:val="22"/>
        </w:rPr>
        <w:t xml:space="preserve">Triffin observed that a national currency serving as global reserve creates a permanent conflict between domestic monetary policy and international reserve function. In CM terms: the issuing sovereign optimises V, A, T for its domestic H population. But every domestic policy action that improves domestic V and A — fiscal expansion, selective enforcement, institutional capture — further reduces the foreign H's ability to verify independently. The domestic optimisation actively degrades the foreign H's anchor parameters.</w:t>
      </w:r>
    </w:p>
    <w:p>
      <w:pPr>
        <w:spacing w:before="100" w:after="140"/>
        <w:jc w:val="both"/>
      </w:pPr>
      <w:r>
        <w:rPr>
          <w:rFonts w:ascii="Arial" w:cs="Arial" w:eastAsia="Arial" w:hAnsi="Arial"/>
          <w:sz w:val="22"/>
          <w:szCs w:val="22"/>
        </w:rPr>
        <w:t xml:space="preserve">The Triffin dilemma is not an economic paradox. It is the structural impossibility of a commitment with a Liable Authority simultaneously achieving high anchor parameters for both domestic and foreign H. The Liable Authority's discretion — which is what A &lt; 1 formalizes — always resolves in favour of the domestic H when conflict arises. The foreign H knows this and prices it into V and A accordingly. The gap widens continuously until the reserve currency function collapses. This is why no fiat reserve currency has maintained reserve status across a full generational cycle without a forced reset.</w:t>
      </w:r>
    </w:p>
    <w:p>
      <w:pPr>
        <w:spacing w:before="200" w:after="100"/>
      </w:pPr>
      <w:r>
        <w:rPr>
          <w:rFonts w:ascii="Arial" w:cs="Arial" w:eastAsia="Arial" w:hAnsi="Arial"/>
          <w:b/>
          <w:bCs/>
          <w:color w:val="2E5090"/>
          <w:sz w:val="24"/>
          <w:szCs w:val="24"/>
        </w:rPr>
        <w:t xml:space="preserve">The Reserve Asset Contrast</w:t>
      </w:r>
    </w:p>
    <w:p>
      <w:pPr>
        <w:spacing w:before="100" w:after="140"/>
        <w:jc w:val="both"/>
      </w:pPr>
      <w:r>
        <w:rPr>
          <w:rFonts w:ascii="Arial" w:cs="Arial" w:eastAsia="Arial" w:hAnsi="Arial"/>
          <w:sz w:val="22"/>
          <w:szCs w:val="22"/>
        </w:rPr>
        <w:t xml:space="preserve">The reserve asset's V → 1, A → 1, T → 1 are the same for every H regardless of jurisdiction. V → 1 because physical verifiability requires no institutional intermediation — no curated representation is required. A → 1 because no Liable Authority means no discretionary A → 0 can be applied to any specific H. T → 1 because physical bearer transfer requires no SWIFT access, no correspondent bank, no political permission.</w:t>
      </w:r>
    </w:p>
    <w:p>
      <w:pPr>
        <w:spacing w:before="100" w:after="140"/>
        <w:jc w:val="both"/>
      </w:pPr>
      <w:r>
        <w:rPr>
          <w:rFonts w:ascii="Arial" w:cs="Arial" w:eastAsia="Arial" w:hAnsi="Arial"/>
          <w:sz w:val="22"/>
          <w:szCs w:val="22"/>
        </w:rPr>
        <w:t xml:space="preserve">The reserve asset's anchor parameters are jurisdiction-invariant by structural necessity, not by policy design. This property cannot be replicated by improving fiat disclosure, digital payment infrastructure, or international cooperation agreements. It is the structural consequence of having no Liable Authority — which is the defining characteristic that makes V → 1, A → 1, T → 1 simultaneously achievable for domestic and foreign H identically.</w:t>
      </w:r>
    </w:p>
    <w:p>
      <w:pPr>
        <w:pStyle w:val="Heading1"/>
        <w:spacing w:before="360" w:after="180"/>
      </w:pPr>
      <w:r>
        <w:rPr>
          <w:rFonts w:ascii="Arial" w:cs="Arial" w:eastAsia="Arial" w:hAnsi="Arial"/>
          <w:b/>
          <w:bCs/>
          <w:color w:val="1F3864"/>
          <w:sz w:val="32"/>
          <w:szCs w:val="32"/>
        </w:rPr>
        <w:t xml:space="preserve">4. Why Fiat Fails as Cross-Border Medium of Exchange</w:t>
      </w:r>
    </w:p>
    <w:p>
      <w:pPr>
        <w:spacing w:before="100" w:after="140"/>
        <w:jc w:val="both"/>
      </w:pPr>
      <w:r>
        <w:rPr>
          <w:rFonts w:ascii="Arial" w:cs="Arial" w:eastAsia="Arial" w:hAnsi="Arial"/>
          <w:sz w:val="22"/>
          <w:szCs w:val="22"/>
        </w:rPr>
        <w:t xml:space="preserve">The perspective collapse established in Section 3.4 — V → 0, A → 0, T → 0 for the foreign H — is the root structural failure. Three additional geometric failures compound it when fiat is placed in the role of cross-border Medium of Exchange.</w:t>
      </w:r>
    </w:p>
    <w:p>
      <w:pPr>
        <w:pStyle w:val="Heading2"/>
        <w:spacing w:before="280" w:after="140"/>
      </w:pPr>
      <w:r>
        <w:rPr>
          <w:rFonts w:ascii="Arial" w:cs="Arial" w:eastAsia="Arial" w:hAnsi="Arial"/>
          <w:b/>
          <w:bCs/>
          <w:color w:val="2E5090"/>
          <w:sz w:val="26"/>
          <w:szCs w:val="26"/>
        </w:rPr>
        <w:t xml:space="preserve">4.1 Failure 1: The Medium of Exchange Inherits a Frame</w:t>
      </w:r>
    </w:p>
    <w:p>
      <w:pPr>
        <w:spacing w:before="100" w:after="140"/>
        <w:jc w:val="both"/>
      </w:pPr>
      <w:r>
        <w:rPr>
          <w:rFonts w:ascii="Arial" w:cs="Arial" w:eastAsia="Arial" w:hAnsi="Arial"/>
          <w:sz w:val="22"/>
          <w:szCs w:val="22"/>
        </w:rPr>
        <w:t xml:space="preserve">The Medium of Exchange CₘE must absorb phase misalignment between Cᵢ and Cⱼ. This requires T = 1 and V = 1. Fiat carries a third anchor parameter: A &lt; 1, because fiat depends on its issuing sovereign.</w:t>
      </w:r>
    </w:p>
    <w:p>
      <w:pPr>
        <w:spacing w:before="100" w:after="140"/>
        <w:jc w:val="both"/>
      </w:pPr>
      <w:r>
        <w:rPr>
          <w:rFonts w:ascii="Arial" w:cs="Arial" w:eastAsia="Arial" w:hAnsi="Arial"/>
          <w:sz w:val="22"/>
          <w:szCs w:val="22"/>
        </w:rPr>
        <w:t xml:space="preserve">Using fiat as CₘE forces a trilateral commitment structure:</w:t>
      </w:r>
    </w:p>
    <w:p>
      <w:pPr>
        <w:spacing w:before="120" w:after="120"/>
        <w:jc w:val="center"/>
      </w:pPr>
      <w:r>
        <w:rPr>
          <w:rFonts w:ascii="Courier New" w:cs="Courier New" w:eastAsia="Courier New" w:hAnsi="Courier New"/>
          <w:i/>
          <w:iCs/>
          <w:color w:val="1F3864"/>
          <w:sz w:val="22"/>
          <w:szCs w:val="22"/>
        </w:rPr>
        <w:t xml:space="preserve">CV_Brazil → CV_USD (L = US Federal Reserve) → CV_Korea</w:t>
      </w:r>
    </w:p>
    <w:p>
      <w:pPr>
        <w:spacing w:before="100" w:after="140"/>
        <w:jc w:val="both"/>
      </w:pPr>
      <w:r>
        <w:rPr>
          <w:rFonts w:ascii="Arial" w:cs="Arial" w:eastAsia="Arial" w:hAnsi="Arial"/>
          <w:sz w:val="22"/>
          <w:szCs w:val="22"/>
        </w:rPr>
        <w:t xml:space="preserve">The Liable Authority of the Medium of Exchange now sits inside every cross-border transaction globally. Its resistance function Rℓ applies to every transaction. Its frame must achieve ℐ = +1 with both parties simultaneously. Sanctions, capital controls, and correspondent bank compliance decisions are Rℓ activating against transactions the Liable Authority refuses to mediate.</w:t>
      </w:r>
    </w:p>
    <w:p>
      <w:pPr>
        <w:pStyle w:val="Heading2"/>
        <w:spacing w:before="280" w:after="140"/>
      </w:pPr>
      <w:r>
        <w:rPr>
          <w:rFonts w:ascii="Arial" w:cs="Arial" w:eastAsia="Arial" w:hAnsi="Arial"/>
          <w:b/>
          <w:bCs/>
          <w:color w:val="2E5090"/>
          <w:sz w:val="26"/>
          <w:szCs w:val="26"/>
        </w:rPr>
        <w:t xml:space="preserve">4.2 Failure 2: Rᴰ Compounds at the Medium Layer</w:t>
      </w:r>
    </w:p>
    <w:p>
      <w:pPr>
        <w:spacing w:before="100" w:after="140"/>
        <w:jc w:val="both"/>
      </w:pPr>
      <w:r>
        <w:rPr>
          <w:rFonts w:ascii="Arial" w:cs="Arial" w:eastAsia="Arial" w:hAnsi="Arial"/>
          <w:sz w:val="22"/>
          <w:szCs w:val="22"/>
        </w:rPr>
        <w:t xml:space="preserve">Each leg of the transfer requires its own frame intersection ℐ. With fiat as CₘE, these evaluations are independent and asymmetric:</w:t>
      </w:r>
    </w:p>
    <w:p>
      <w:pPr>
        <w:pStyle w:val="ListParagraph"/>
        <w:numPr>
          <w:ilvl w:val="0"/>
          <w:numId w:val="2"/>
        </w:numPr>
        <w:spacing w:before="60" w:after="60"/>
      </w:pPr>
      <w:r>
        <w:rPr>
          <w:rFonts w:ascii="Arial" w:cs="Arial" w:eastAsia="Arial" w:hAnsi="Arial"/>
          <w:sz w:val="22"/>
          <w:szCs w:val="22"/>
        </w:rPr>
        <w:t xml:space="preserve">ℐ(F_Brazil, F_USD): Depends on alignment between Brazilian and US monetary frames</w:t>
      </w:r>
    </w:p>
    <w:p>
      <w:pPr>
        <w:pStyle w:val="ListParagraph"/>
        <w:numPr>
          <w:ilvl w:val="0"/>
          <w:numId w:val="2"/>
        </w:numPr>
        <w:spacing w:before="60" w:after="60"/>
      </w:pPr>
      <w:r>
        <w:rPr>
          <w:rFonts w:ascii="Arial" w:cs="Arial" w:eastAsia="Arial" w:hAnsi="Arial"/>
          <w:sz w:val="22"/>
          <w:szCs w:val="22"/>
        </w:rPr>
        <w:t xml:space="preserve">ℐ(F_USD, F_Korea): Depends on alignment between US and Korean monetary frames</w:t>
      </w:r>
    </w:p>
    <w:p>
      <w:pPr>
        <w:spacing w:before="100" w:after="140"/>
        <w:jc w:val="both"/>
      </w:pPr>
      <w:r>
        <w:rPr>
          <w:rFonts w:ascii="Arial" w:cs="Arial" w:eastAsia="Arial" w:hAnsi="Arial"/>
          <w:sz w:val="22"/>
          <w:szCs w:val="22"/>
        </w:rPr>
        <w:t xml:space="preserve">When either returns 0, NEGOTIATE is invoked. The entire architecture of correspondent banking, SWIFT messaging, nostro/vostro accounts, and FX clearing exists because fiat as CₘE generates persistent ℐ = 0 states requiring continuous negotiation infrastructure. Each cycle incurs γⁿᵉᵍ · CV₀. When either returns -1, HANDLE is invoked and the path is blocked.</w:t>
      </w:r>
    </w:p>
    <w:p>
      <w:pPr>
        <w:pStyle w:val="Heading2"/>
        <w:spacing w:before="280" w:after="140"/>
      </w:pPr>
      <w:r>
        <w:rPr>
          <w:rFonts w:ascii="Arial" w:cs="Arial" w:eastAsia="Arial" w:hAnsi="Arial"/>
          <w:b/>
          <w:bCs/>
          <w:color w:val="2E5090"/>
          <w:sz w:val="26"/>
          <w:szCs w:val="26"/>
        </w:rPr>
        <w:t xml:space="preserve">4.3 Failure 3: Temporal T Degrades</w:t>
      </w:r>
    </w:p>
    <w:p>
      <w:pPr>
        <w:spacing w:before="100" w:after="140"/>
        <w:jc w:val="both"/>
      </w:pPr>
      <w:r>
        <w:rPr>
          <w:rFonts w:ascii="Arial" w:cs="Arial" w:eastAsia="Arial" w:hAnsi="Arial"/>
          <w:sz w:val="22"/>
          <w:szCs w:val="22"/>
        </w:rPr>
        <w:t xml:space="preserve">Fiat T→1 is spatial. Its temporal T degrades at rate λ. For cross-border transactions involving settlement delays, the value transferred is measured against a degrading anchor. The Brazilian exporter invoices in USD today and receives payment in 30 days. The USD received has lower real value than the USD invoiced.</w:t>
      </w:r>
    </w:p>
    <w:p>
      <w:pPr>
        <w:spacing w:before="100" w:after="140"/>
        <w:jc w:val="both"/>
      </w:pPr>
      <w:r>
        <w:rPr>
          <w:rFonts w:ascii="Arial" w:cs="Arial" w:eastAsia="Arial" w:hAnsi="Arial"/>
          <w:sz w:val="22"/>
          <w:szCs w:val="22"/>
        </w:rPr>
        <w:t xml:space="preserve">This is not exchange rate risk in the traditional sense. In CM terms, it is A &lt; 1 manifesting as temporal value leakage through the transfer path. The compensation for this leakage — FX hedging, forward contracts, derivatives — adds dependency depth d, applying e⁻ᵋd decay to the value being preserved.</w:t>
      </w:r>
    </w:p>
    <w:p>
      <w:pPr>
        <w:pStyle w:val="Heading2"/>
        <w:spacing w:before="280" w:after="140"/>
      </w:pPr>
      <w:r>
        <w:rPr>
          <w:rFonts w:ascii="Arial" w:cs="Arial" w:eastAsia="Arial" w:hAnsi="Arial"/>
          <w:b/>
          <w:bCs/>
          <w:color w:val="2E5090"/>
          <w:sz w:val="26"/>
          <w:szCs w:val="26"/>
        </w:rPr>
        <w:t xml:space="preserve">4.4 The Reserve Asset Eliminates All Three Failures</w:t>
      </w:r>
    </w:p>
    <w:p>
      <w:pPr>
        <w:spacing w:before="100" w:after="140"/>
        <w:jc w:val="both"/>
      </w:pPr>
      <w:r>
        <w:rPr>
          <w:rFonts w:ascii="Arial" w:cs="Arial" w:eastAsia="Arial" w:hAnsi="Arial"/>
          <w:sz w:val="22"/>
          <w:szCs w:val="22"/>
        </w:rPr>
        <w:t xml:space="preserve">With V→1, A→1, T→1, the transfer path becomes:</w:t>
      </w:r>
    </w:p>
    <w:p>
      <w:pPr>
        <w:spacing w:before="120" w:after="120"/>
        <w:jc w:val="center"/>
      </w:pPr>
      <w:r>
        <w:rPr>
          <w:rFonts w:ascii="Courier New" w:cs="Courier New" w:eastAsia="Courier New" w:hAnsi="Courier New"/>
          <w:i/>
          <w:iCs/>
          <w:color w:val="1F3864"/>
          <w:sz w:val="22"/>
          <w:szCs w:val="22"/>
        </w:rPr>
        <w:t xml:space="preserve">CVᵢ → Cᴿₐ → CVⱼ</w:t>
      </w:r>
    </w:p>
    <w:p>
      <w:pPr>
        <w:pStyle w:val="ListParagraph"/>
        <w:numPr>
          <w:ilvl w:val="0"/>
          <w:numId w:val="2"/>
        </w:numPr>
        <w:spacing w:before="60" w:after="60"/>
      </w:pPr>
      <w:r>
        <w:rPr>
          <w:rFonts w:ascii="Arial" w:cs="Arial" w:eastAsia="Arial" w:hAnsi="Arial"/>
          <w:sz w:val="22"/>
          <w:szCs w:val="22"/>
        </w:rPr>
        <w:t xml:space="preserve">No inherited frame: A→1 through structural independence means no Liable Authority. The reserve asset does not belong to any jurisdiction. Frame intersection is determined by physical and structural properties that are jurisdiction-invariant.</w:t>
      </w:r>
    </w:p>
    <w:p>
      <w:pPr>
        <w:pStyle w:val="ListParagraph"/>
        <w:numPr>
          <w:ilvl w:val="0"/>
          <w:numId w:val="2"/>
        </w:numPr>
        <w:spacing w:before="60" w:after="60"/>
      </w:pPr>
      <w:r>
        <w:rPr>
          <w:rFonts w:ascii="Arial" w:cs="Arial" w:eastAsia="Arial" w:hAnsi="Arial"/>
          <w:sz w:val="22"/>
          <w:szCs w:val="22"/>
        </w:rPr>
        <w:t xml:space="preserve">No Rᴰ compounding: Both legs evaluate against the same anchor simultaneously. No correspondent bank, no nostro account, no SWIFT instruction required. The reserve asset mediates by existing, not by performing institutional services that can be interrupted.</w:t>
      </w:r>
    </w:p>
    <w:p>
      <w:pPr>
        <w:pStyle w:val="ListParagraph"/>
        <w:numPr>
          <w:ilvl w:val="0"/>
          <w:numId w:val="2"/>
        </w:numPr>
        <w:spacing w:before="60" w:after="60"/>
      </w:pPr>
      <w:r>
        <w:rPr>
          <w:rFonts w:ascii="Arial" w:cs="Arial" w:eastAsia="Arial" w:hAnsi="Arial"/>
          <w:sz w:val="22"/>
          <w:szCs w:val="22"/>
        </w:rPr>
        <w:t xml:space="preserve">No temporal T degradation: T→1 across time means value transferred today and received tomorrow are measured against the same anchor. The three-phase lifecycle maintains this continuity across generations.</w:t>
      </w:r>
    </w:p>
    <w:p>
      <w:pPr>
        <w:spacing w:before="100" w:after="140"/>
        <w:jc w:val="both"/>
      </w:pPr>
      <w:r>
        <w:rPr>
          <w:rFonts w:ascii="Arial" w:cs="Arial" w:eastAsia="Arial" w:hAnsi="Arial"/>
          <w:sz w:val="22"/>
          <w:szCs w:val="22"/>
        </w:rPr>
        <w:t xml:space="preserve">The entire correspondent banking system, FX market, SWIFT network, currency swap lines, and geopolitical power derived from reserve currency dominance are the accumulated infrastructure required to manage the structural failure of using a commitment with A &lt; 1 as a Medium of Exchange. The reserve asset does not reduce the cost of cross-border transfer. It eliminates the structural source of the cost entirely.</w:t>
      </w:r>
    </w:p>
    <w:p>
      <w:pPr>
        <w:pStyle w:val="Heading1"/>
        <w:spacing w:before="360" w:after="180"/>
      </w:pPr>
      <w:r>
        <w:rPr>
          <w:rFonts w:ascii="Arial" w:cs="Arial" w:eastAsia="Arial" w:hAnsi="Arial"/>
          <w:b/>
          <w:bCs/>
          <w:color w:val="1F3864"/>
          <w:sz w:val="32"/>
          <w:szCs w:val="32"/>
        </w:rPr>
        <w:t xml:space="preserve">5. Interference Mode as the Correct Trade Architecture</w:t>
      </w:r>
    </w:p>
    <w:p>
      <w:pPr>
        <w:pStyle w:val="Heading2"/>
        <w:spacing w:before="280" w:after="140"/>
      </w:pPr>
      <w:r>
        <w:rPr>
          <w:rFonts w:ascii="Arial" w:cs="Arial" w:eastAsia="Arial" w:hAnsi="Arial"/>
          <w:b/>
          <w:bCs/>
          <w:color w:val="2E5090"/>
          <w:sz w:val="26"/>
          <w:szCs w:val="26"/>
        </w:rPr>
        <w:t xml:space="preserve">5.1 The Reserve Asset’s Role Shifts by Mode</w:t>
      </w:r>
    </w:p>
    <w:p>
      <w:pPr>
        <w:spacing w:before="100" w:after="140"/>
        <w:jc w:val="both"/>
      </w:pPr>
      <w:r>
        <w:rPr>
          <w:rFonts w:ascii="Arial" w:cs="Arial" w:eastAsia="Arial" w:hAnsi="Arial"/>
          <w:sz w:val="22"/>
          <w:szCs w:val="22"/>
        </w:rPr>
        <w:t xml:space="preserve">At Exchange mode, the reserve asset must be physically present or represented in every transaction as CₘE. At Interference mode, direct INC is permitted. The reserve asset’s role shifts:</w:t>
      </w:r>
    </w:p>
    <w:p>
      <w:pPr>
        <w:pStyle w:val="ListParagraph"/>
        <w:numPr>
          <w:ilvl w:val="0"/>
          <w:numId w:val="2"/>
        </w:numPr>
        <w:spacing w:before="60" w:after="60"/>
      </w:pPr>
      <w:r>
        <w:rPr>
          <w:rFonts w:ascii="Arial" w:cs="Arial" w:eastAsia="Arial" w:hAnsi="Arial"/>
          <w:sz w:val="22"/>
          <w:szCs w:val="22"/>
        </w:rPr>
        <w:t xml:space="preserve">Exchange mode: Reserve asset as Medium of Exchange — sits inside every transaction as a necessary intermediary</w:t>
      </w:r>
    </w:p>
    <w:p>
      <w:pPr>
        <w:pStyle w:val="ListParagraph"/>
        <w:numPr>
          <w:ilvl w:val="0"/>
          <w:numId w:val="2"/>
        </w:numPr>
        <w:spacing w:before="60" w:after="60"/>
      </w:pPr>
      <w:r>
        <w:rPr>
          <w:rFonts w:ascii="Arial" w:cs="Arial" w:eastAsia="Arial" w:hAnsi="Arial"/>
          <w:sz w:val="22"/>
          <w:szCs w:val="22"/>
        </w:rPr>
        <w:t xml:space="preserve">Interference mode: Reserve asset as common frame anchor — sits beneath all transactions as the stable foundation against which value is denominated</w:t>
      </w:r>
    </w:p>
    <w:p>
      <w:pPr>
        <w:spacing w:before="100" w:after="140"/>
        <w:jc w:val="both"/>
      </w:pPr>
      <w:r>
        <w:rPr>
          <w:rFonts w:ascii="Arial" w:cs="Arial" w:eastAsia="Arial" w:hAnsi="Arial"/>
          <w:sz w:val="22"/>
          <w:szCs w:val="22"/>
        </w:rPr>
        <w:t xml:space="preserve">At Interference mode, the reserve asset needs only to be the shared reference frame. This is the distributed anchoring mechanism of Law 13: the reserve asset stabilizes through credibility and reference, not through physical intermediation of every transaction. Nations at Interference distance settle bilaterally, denominated in reserve asset units, without correspondent bank intermediation.</w:t>
      </w:r>
    </w:p>
    <w:p>
      <w:pPr>
        <w:pStyle w:val="Heading2"/>
        <w:spacing w:before="280" w:after="140"/>
      </w:pPr>
      <w:r>
        <w:rPr>
          <w:rFonts w:ascii="Arial" w:cs="Arial" w:eastAsia="Arial" w:hAnsi="Arial"/>
          <w:b/>
          <w:bCs/>
          <w:color w:val="2E5090"/>
          <w:sz w:val="26"/>
          <w:szCs w:val="26"/>
        </w:rPr>
        <w:t xml:space="preserve">5.2 Trade Agreements as ROT Operations</w:t>
      </w:r>
    </w:p>
    <w:p>
      <w:pPr>
        <w:spacing w:before="100" w:after="140"/>
        <w:jc w:val="both"/>
      </w:pPr>
      <w:r>
        <w:rPr>
          <w:rFonts w:ascii="Arial" w:cs="Arial" w:eastAsia="Arial" w:hAnsi="Arial"/>
          <w:sz w:val="22"/>
          <w:szCs w:val="22"/>
        </w:rPr>
        <w:t xml:space="preserve">A trade agreement that addresses only tariffs is a partial INC operation at Exchange mode. It increases the volume of value transfer without changing the mode. The coherence term Φ remains unchanged. No relational value accumulates.</w:t>
      </w:r>
    </w:p>
    <w:p>
      <w:pPr>
        <w:spacing w:before="100" w:after="140"/>
        <w:jc w:val="both"/>
      </w:pPr>
      <w:r>
        <w:rPr>
          <w:rFonts w:ascii="Arial" w:cs="Arial" w:eastAsia="Arial" w:hAnsi="Arial"/>
          <w:sz w:val="22"/>
          <w:szCs w:val="22"/>
        </w:rPr>
        <w:t xml:space="preserve">A trade agreement that addresses standards harmonization, regulatory equivalence, and institutional alignment is a ROT operation. It reduces Rᴰ between the two national commitment networks. When Rᴰ crosses e⁻¹, the mode transitions to Interference. Direct INC becomes permitted. Φ enters the conservation law. The relationship begins accumulating conserved value that exceeds any individual transaction.</w:t>
      </w:r>
    </w:p>
    <w:p>
      <w:pPr>
        <w:spacing w:before="100" w:after="140"/>
        <w:jc w:val="both"/>
      </w:pPr>
      <w:r>
        <w:rPr>
          <w:rFonts w:ascii="Arial" w:cs="Arial" w:eastAsia="Arial" w:hAnsi="Arial"/>
          <w:sz w:val="22"/>
          <w:szCs w:val="22"/>
        </w:rPr>
        <w:t xml:space="preserve">This is why deep trade agreements produce qualitatively different outcomes than tariff-only agreements. They are different operations, not the same operation at greater depth.</w:t>
      </w:r>
    </w:p>
    <w:p>
      <w:pPr>
        <w:pStyle w:val="Heading2"/>
        <w:spacing w:before="280" w:after="140"/>
      </w:pPr>
      <w:r>
        <w:rPr>
          <w:rFonts w:ascii="Arial" w:cs="Arial" w:eastAsia="Arial" w:hAnsi="Arial"/>
          <w:b/>
          <w:bCs/>
          <w:color w:val="2E5090"/>
          <w:sz w:val="26"/>
          <w:szCs w:val="26"/>
        </w:rPr>
        <w:t xml:space="preserve">5.3 Supply Chain Integration as Dependency Graph Construction</w:t>
      </w:r>
    </w:p>
    <w:p>
      <w:pPr>
        <w:spacing w:before="100" w:after="140"/>
        <w:jc w:val="both"/>
      </w:pPr>
      <w:r>
        <w:rPr>
          <w:rFonts w:ascii="Arial" w:cs="Arial" w:eastAsia="Arial" w:hAnsi="Arial"/>
          <w:sz w:val="22"/>
          <w:szCs w:val="22"/>
        </w:rPr>
        <w:t xml:space="preserve">When production in one nation depends on inputs from another, the commitment network G = (C, E) gains edges crossing national boundaries. The dependency constraint applies:</w:t>
      </w:r>
    </w:p>
    <w:p>
      <w:pPr>
        <w:spacing w:before="120" w:after="120"/>
        <w:jc w:val="center"/>
      </w:pPr>
      <w:r>
        <w:rPr>
          <w:rFonts w:ascii="Courier New" w:cs="Courier New" w:eastAsia="Courier New" w:hAnsi="Courier New"/>
          <w:i/>
          <w:iCs/>
          <w:color w:val="1F3864"/>
          <w:sz w:val="22"/>
          <w:szCs w:val="22"/>
        </w:rPr>
        <w:t xml:space="preserve">CV(Cⱼ) ≤ e⁻ᵋd · CV(Cᵢ)</w:t>
      </w:r>
    </w:p>
    <w:p>
      <w:pPr>
        <w:spacing w:before="100" w:after="140"/>
        <w:jc w:val="both"/>
      </w:pPr>
      <w:r>
        <w:rPr>
          <w:rFonts w:ascii="Arial" w:cs="Arial" w:eastAsia="Arial" w:hAnsi="Arial"/>
          <w:sz w:val="22"/>
          <w:szCs w:val="22"/>
        </w:rPr>
        <w:t xml:space="preserve">Dependency at Exchange distance is fragile by construction. The e⁻ᵋd decay applies, and the value of downstream commitments is bounded by the weakest link. Supply chain integration only holds structurally at Interference mode or closer, where Rᴰ &lt; e⁻¹ ensures sufficient compensation efficiency Eff(Rᴰ) = e⁻ᶜ⋅Rᴰ ≥ 0.45.</w:t>
      </w:r>
    </w:p>
    <w:p>
      <w:pPr>
        <w:spacing w:before="100" w:after="140"/>
        <w:jc w:val="both"/>
      </w:pPr>
      <w:r>
        <w:rPr>
          <w:rFonts w:ascii="Arial" w:cs="Arial" w:eastAsia="Arial" w:hAnsi="Arial"/>
          <w:sz w:val="22"/>
          <w:szCs w:val="22"/>
        </w:rPr>
        <w:t xml:space="preserve">The fragility of global supply chains revealed in recent disruptions is not a logistics failure. It is Exchange-mode dependency structure — deep integration built on a relational foundation that cannot support it.</w:t>
      </w:r>
    </w:p>
    <w:p>
      <w:pPr>
        <w:pStyle w:val="Heading2"/>
        <w:spacing w:before="280" w:after="140"/>
      </w:pPr>
      <w:r>
        <w:rPr>
          <w:rFonts w:ascii="Arial" w:cs="Arial" w:eastAsia="Arial" w:hAnsi="Arial"/>
          <w:b/>
          <w:bCs/>
          <w:color w:val="2E5090"/>
          <w:sz w:val="26"/>
          <w:szCs w:val="26"/>
        </w:rPr>
        <w:t xml:space="preserve">5.4 The Coherence Premium</w:t>
      </w:r>
    </w:p>
    <w:p>
      <w:pPr>
        <w:spacing w:before="100" w:after="140"/>
        <w:jc w:val="both"/>
      </w:pPr>
      <w:r>
        <w:rPr>
          <w:rFonts w:ascii="Arial" w:cs="Arial" w:eastAsia="Arial" w:hAnsi="Arial"/>
          <w:sz w:val="22"/>
          <w:szCs w:val="22"/>
        </w:rPr>
        <w:t xml:space="preserve">At Interference mode, when Rᴰ decreases through sustained ROT and INC, Φᵢⱼ = 1 - Rᴰ(i,j) increases. This coherence premium is a conserved quantity that accumulates in the bilateral relationship. It is why severing deep trade relationships destroys value not visible in transaction-by-transaction accounting.</w:t>
      </w:r>
    </w:p>
    <w:p>
      <w:pPr>
        <w:spacing w:before="100" w:after="140"/>
        <w:jc w:val="both"/>
      </w:pPr>
      <w:r>
        <w:rPr>
          <w:rFonts w:ascii="Arial" w:cs="Arial" w:eastAsia="Arial" w:hAnsi="Arial"/>
          <w:sz w:val="22"/>
          <w:szCs w:val="22"/>
        </w:rPr>
        <w:t xml:space="preserve">Trade wars and decoupling policies eliminate Φ directly. Restoring transaction volumes does not restore Φ — Rᴰ must be reduced again through ROT, which takes time and bilateral commitment. The cost of a trade war is not the tariff revenue lost. It is the coherence premium destroyed, which is a conserved quantity that must be rebuilt from zero.</w:t>
      </w:r>
    </w:p>
    <w:p>
      <w:pPr>
        <w:pStyle w:val="Heading1"/>
        <w:spacing w:before="360" w:after="180"/>
      </w:pPr>
      <w:r>
        <w:rPr>
          <w:rFonts w:ascii="Arial" w:cs="Arial" w:eastAsia="Arial" w:hAnsi="Arial"/>
          <w:b/>
          <w:bCs/>
          <w:color w:val="1F3864"/>
          <w:sz w:val="32"/>
          <w:szCs w:val="32"/>
        </w:rPr>
        <w:t xml:space="preserve">6. Identity as Quantum-Resistant Authentication</w:t>
      </w:r>
    </w:p>
    <w:p>
      <w:pPr>
        <w:spacing w:before="100" w:after="140"/>
        <w:jc w:val="both"/>
      </w:pPr>
      <w:r>
        <w:rPr>
          <w:rFonts w:ascii="Arial" w:cs="Arial" w:eastAsia="Arial" w:hAnsi="Arial"/>
          <w:sz w:val="22"/>
          <w:szCs w:val="22"/>
        </w:rPr>
        <w:t xml:space="preserve">Cross-border payment rails require authentication of the Holding Entity H at every transaction boundary. Current cryptographic authentication is a Coupling phenomenon: private key as Male⁺ (M = (1-D)·μ·(1-λ), non-transferable, secret), public key as Female⁰ (F = D·(1-μ)·λ, structural anchor, freely transferable). Gender complementarity Gᶜ = 1 enables the authentication coupling.</w:t>
      </w:r>
    </w:p>
    <w:p>
      <w:pPr>
        <w:spacing w:before="100" w:after="140"/>
        <w:jc w:val="both"/>
      </w:pPr>
      <w:r>
        <w:rPr>
          <w:rFonts w:ascii="Arial" w:cs="Arial" w:eastAsia="Arial" w:hAnsi="Arial"/>
          <w:sz w:val="22"/>
          <w:szCs w:val="22"/>
        </w:rPr>
        <w:t xml:space="preserve">Quantum attack via Shor’s algorithm is a forced gender collapse — it computes the Male⁺ function from the Female⁰ function. The vulnerability exists because the private key is a mathematical object stored externally to H, separable from H and computable by a sufficiently powerful adversary.</w:t>
      </w:r>
    </w:p>
    <w:p>
      <w:pPr>
        <w:pStyle w:val="Heading2"/>
        <w:spacing w:before="280" w:after="140"/>
      </w:pPr>
      <w:r>
        <w:rPr>
          <w:rFonts w:ascii="Arial" w:cs="Arial" w:eastAsia="Arial" w:hAnsi="Arial"/>
          <w:b/>
          <w:bCs/>
          <w:color w:val="2E5090"/>
          <w:sz w:val="26"/>
          <w:szCs w:val="26"/>
        </w:rPr>
        <w:t xml:space="preserve">6.1 Identity as Memory Carrier</w:t>
      </w:r>
    </w:p>
    <w:p>
      <w:pPr>
        <w:spacing w:before="100" w:after="140"/>
        <w:jc w:val="both"/>
      </w:pPr>
      <w:r>
        <w:rPr>
          <w:rFonts w:ascii="Arial" w:cs="Arial" w:eastAsia="Arial" w:hAnsi="Arial"/>
          <w:sz w:val="22"/>
          <w:szCs w:val="22"/>
        </w:rPr>
        <w:t xml:space="preserve">The CM resolution: authentication as identity verification rather than knowledge verification. H’s identity is μ_local(H):</w:t>
      </w:r>
    </w:p>
    <w:p>
      <w:pPr>
        <w:spacing w:before="120" w:after="120"/>
        <w:jc w:val="center"/>
      </w:pPr>
      <w:r>
        <w:rPr>
          <w:rFonts w:ascii="Courier New" w:cs="Courier New" w:eastAsia="Courier New" w:hAnsi="Courier New"/>
          <w:i/>
          <w:iCs/>
          <w:color w:val="1F3864"/>
          <w:sz w:val="22"/>
          <w:szCs w:val="22"/>
        </w:rPr>
        <w:t xml:space="preserve">μ_local(H) = R₀ × Tᵣ × S × Rᵉ × I</w:t>
      </w:r>
    </w:p>
    <w:p>
      <w:pPr>
        <w:spacing w:before="100" w:after="140"/>
        <w:jc w:val="both"/>
      </w:pPr>
      <w:r>
        <w:rPr>
          <w:rFonts w:ascii="Arial" w:cs="Arial" w:eastAsia="Arial" w:hAnsi="Arial"/>
          <w:sz w:val="22"/>
          <w:szCs w:val="22"/>
        </w:rPr>
        <w:t xml:space="preserve">These five capacities (categorization, tracking, storage, reporting, interpretation) are not a mathematical relationship. They are the structural definition of H as a memory-bearing entity. They cannot be separated from H and computed independently because they do not exist independently of H.</w:t>
      </w:r>
    </w:p>
    <w:p>
      <w:pPr>
        <w:spacing w:before="100" w:after="140"/>
        <w:jc w:val="both"/>
      </w:pPr>
      <w:r>
        <w:rPr>
          <w:rFonts w:ascii="Arial" w:cs="Arial" w:eastAsia="Arial" w:hAnsi="Arial"/>
          <w:sz w:val="22"/>
          <w:szCs w:val="22"/>
        </w:rPr>
        <w:t xml:space="preserve">For identity as memory carrier, T = 0. An identity that can be transferred is not an identity — it is a credential. The quantum-resistance argument rests on this: the Male⁺ function cannot be separated from H precisely because T = 0. No propagation path exists for the adversary to exploit.</w:t>
      </w:r>
    </w:p>
    <w:p>
      <w:pPr>
        <w:pStyle w:val="Heading2"/>
        <w:spacing w:before="280" w:after="140"/>
      </w:pPr>
      <w:r>
        <w:rPr>
          <w:rFonts w:ascii="Arial" w:cs="Arial" w:eastAsia="Arial" w:hAnsi="Arial"/>
          <w:b/>
          <w:bCs/>
          <w:color w:val="2E5090"/>
          <w:sz w:val="26"/>
          <w:szCs w:val="26"/>
        </w:rPr>
        <w:t xml:space="preserve">6.2 The Two-Layer Payment Architecture</w:t>
      </w:r>
    </w:p>
    <w:p>
      <w:pPr>
        <w:spacing w:before="100" w:after="140"/>
        <w:jc w:val="both"/>
      </w:pPr>
      <w:r>
        <w:rPr>
          <w:rFonts w:ascii="Arial" w:cs="Arial" w:eastAsia="Arial" w:hAnsi="Arial"/>
          <w:sz w:val="22"/>
          <w:szCs w:val="22"/>
        </w:rPr>
        <w:t xml:space="preserve">T = 0 for identity means the identity commitment cannot serve as Medium of Exchange (which requires T = 1). This enforces a necessary separation: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720"/>
        <w:gridCol w:w="720"/>
        <w:gridCol w:w="504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Commitment Type</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Identity (H anchor)</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Authenticates H, quantum-resistant root, T=0 enforces non-separability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asset Cᴿₐ</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frame anchor, temporal continuity, cross-border settlement</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Value commitment</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&gt; 0</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w:t>
            </w:r>
          </w:p>
        </w:tc>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w:t>
            </w:r>
          </w:p>
        </w:tc>
        <w:tc>
          <w:tcPr>
            <w:tcW w:type="dxa" w:w="50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Carries transferable value, derives from identity at depth d ≥ 1</w:t>
            </w:r>
          </w:p>
        </w:tc>
      </w:tr>
    </w:tbl>
    <w:p>
      <w:pPr>
        <w:spacing w:before="120" w:after="120"/>
      </w:pPr>
    </w:p>
    <w:p>
      <w:pPr>
        <w:spacing w:before="100" w:after="140"/>
        <w:jc w:val="both"/>
      </w:pPr>
      <w:r>
        <w:rPr>
          <w:rFonts w:ascii="Arial" w:cs="Arial" w:eastAsia="Arial" w:hAnsi="Arial"/>
          <w:sz w:val="22"/>
          <w:szCs w:val="22"/>
        </w:rPr>
        <w:t xml:space="preserve">These three commitment types are structurally distinct and cannot substitute for each other. The current system collapsed all three into one — a credential (identity) that is also a mathematical object (stored key) that is also a transfer mechanism (signature). T = 0 for identity enforces the separation that should have existed from the beginning.</w:t>
      </w:r>
    </w:p>
    <w:p>
      <w:pPr>
        <w:pStyle w:val="Heading1"/>
        <w:spacing w:before="360" w:after="180"/>
      </w:pPr>
      <w:r>
        <w:rPr>
          <w:rFonts w:ascii="Arial" w:cs="Arial" w:eastAsia="Arial" w:hAnsi="Arial"/>
          <w:b/>
          <w:bCs/>
          <w:color w:val="1F3864"/>
          <w:sz w:val="32"/>
          <w:szCs w:val="32"/>
        </w:rPr>
        <w:t xml:space="preserve">7. The Correct Architecture for International Trade</w:t>
      </w:r>
    </w:p>
    <w:p>
      <w:pPr>
        <w:pStyle w:val="Heading2"/>
        <w:spacing w:before="280" w:after="140"/>
      </w:pPr>
      <w:r>
        <w:rPr>
          <w:rFonts w:ascii="Arial" w:cs="Arial" w:eastAsia="Arial" w:hAnsi="Arial"/>
          <w:b/>
          <w:bCs/>
          <w:color w:val="2E5090"/>
          <w:sz w:val="26"/>
          <w:szCs w:val="26"/>
        </w:rPr>
        <w:t xml:space="preserve">7.1 Three-Layer Structure</w:t>
      </w:r>
    </w:p>
    <w:p>
      <w:pPr>
        <w:spacing w:before="100" w:after="140"/>
        <w:jc w:val="both"/>
      </w:pPr>
      <w:r>
        <w:rPr>
          <w:rFonts w:ascii="Arial" w:cs="Arial" w:eastAsia="Arial" w:hAnsi="Arial"/>
          <w:sz w:val="22"/>
          <w:szCs w:val="22"/>
        </w:rPr>
        <w:t xml:space="preserve">The architecture that follows from the preceding analysis has three distinct layers, each operating at the appropriate mode:</w:t>
      </w:r>
    </w:p>
    <w:p>
      <w:pPr>
        <w:pStyle w:val="ListParagraph"/>
        <w:numPr>
          <w:ilvl w:val="0"/>
          <w:numId w:val="2"/>
        </w:numPr>
        <w:spacing w:before="60" w:after="60"/>
      </w:pPr>
      <w:r>
        <w:rPr>
          <w:rFonts w:ascii="Arial" w:cs="Arial" w:eastAsia="Arial" w:hAnsi="Arial"/>
          <w:sz w:val="22"/>
          <w:szCs w:val="22"/>
        </w:rPr>
        <w:t xml:space="preserve">Layer 1 — Identity layer (T = 0): Each national commitment network and each economic participant has an identity commitment anchored in μ_local. Non-transferable, quantum-resistant, persistent across time. Authenticated at every transaction boundary without mathematical keys.</w:t>
      </w:r>
    </w:p>
    <w:p>
      <w:pPr>
        <w:pStyle w:val="ListParagraph"/>
        <w:numPr>
          <w:ilvl w:val="0"/>
          <w:numId w:val="2"/>
        </w:numPr>
        <w:spacing w:before="60" w:after="60"/>
      </w:pPr>
      <w:r>
        <w:rPr>
          <w:rFonts w:ascii="Arial" w:cs="Arial" w:eastAsia="Arial" w:hAnsi="Arial"/>
          <w:sz w:val="22"/>
          <w:szCs w:val="22"/>
        </w:rPr>
        <w:t xml:space="preserve">Layer 2 — Relational layer (Interference mode, Rᴰ &lt; e⁻¹): Bilateral trade relationships between nations operating at Interference mode. ROT operations continuously reduce Rᴰ. Φ accumulates as conserved relational value. Direct INC permitted without CₘE mediation.</w:t>
      </w:r>
    </w:p>
    <w:p>
      <w:pPr>
        <w:pStyle w:val="ListParagraph"/>
        <w:numPr>
          <w:ilvl w:val="0"/>
          <w:numId w:val="2"/>
        </w:numPr>
        <w:spacing w:before="60" w:after="60"/>
      </w:pPr>
      <w:r>
        <w:rPr>
          <w:rFonts w:ascii="Arial" w:cs="Arial" w:eastAsia="Arial" w:hAnsi="Arial"/>
          <w:sz w:val="22"/>
          <w:szCs w:val="22"/>
        </w:rPr>
        <w:t xml:space="preserve">Layer 3 — Reserve anchor (V→1, A→1, T→1): Gold as the common frame anchor against which all value is denominated across all jurisdictions and all time. Not present in every transaction as intermediary. Present beneath all transactions as the stable reference.</w:t>
      </w:r>
    </w:p>
    <w:p>
      <w:pPr>
        <w:pStyle w:val="Heading2"/>
        <w:spacing w:before="280" w:after="140"/>
      </w:pPr>
      <w:r>
        <w:rPr>
          <w:rFonts w:ascii="Arial" w:cs="Arial" w:eastAsia="Arial" w:hAnsi="Arial"/>
          <w:b/>
          <w:bCs/>
          <w:color w:val="2E5090"/>
          <w:sz w:val="26"/>
          <w:szCs w:val="26"/>
        </w:rPr>
        <w:t xml:space="preserve">7.2 Settlement Architecture</w:t>
      </w:r>
    </w:p>
    <w:p>
      <w:pPr>
        <w:spacing w:before="100" w:after="140"/>
        <w:jc w:val="both"/>
      </w:pPr>
      <w:r>
        <w:rPr>
          <w:rFonts w:ascii="Arial" w:cs="Arial" w:eastAsia="Arial" w:hAnsi="Arial"/>
          <w:sz w:val="22"/>
          <w:szCs w:val="22"/>
        </w:rPr>
        <w:t xml:space="preserve">Cross-border settlement in the correct architecture:</w:t>
      </w:r>
    </w:p>
    <w:p>
      <w:pPr>
        <w:pStyle w:val="ListParagraph"/>
        <w:numPr>
          <w:ilvl w:val="0"/>
          <w:numId w:val="2"/>
        </w:numPr>
        <w:spacing w:before="60" w:after="60"/>
      </w:pPr>
      <w:r>
        <w:rPr>
          <w:rFonts w:ascii="Arial" w:cs="Arial" w:eastAsia="Arial" w:hAnsi="Arial"/>
          <w:sz w:val="22"/>
          <w:szCs w:val="22"/>
        </w:rPr>
        <w:t xml:space="preserve">Daily transactions: Operational currency (high spatial T, efficient, H identity authenticated at each step)</w:t>
      </w:r>
    </w:p>
    <w:p>
      <w:pPr>
        <w:pStyle w:val="ListParagraph"/>
        <w:numPr>
          <w:ilvl w:val="0"/>
          <w:numId w:val="2"/>
        </w:numPr>
        <w:spacing w:before="60" w:after="60"/>
      </w:pPr>
      <w:r>
        <w:rPr>
          <w:rFonts w:ascii="Arial" w:cs="Arial" w:eastAsia="Arial" w:hAnsi="Arial"/>
          <w:sz w:val="22"/>
          <w:szCs w:val="22"/>
        </w:rPr>
        <w:t xml:space="preserve">Bilateral settlement: Direct denomination in reserve asset units at Interference mode — no correspondent bank required</w:t>
      </w:r>
    </w:p>
    <w:p>
      <w:pPr>
        <w:pStyle w:val="ListParagraph"/>
        <w:numPr>
          <w:ilvl w:val="0"/>
          <w:numId w:val="2"/>
        </w:numPr>
        <w:spacing w:before="60" w:after="60"/>
      </w:pPr>
      <w:r>
        <w:rPr>
          <w:rFonts w:ascii="Arial" w:cs="Arial" w:eastAsia="Arial" w:hAnsi="Arial"/>
          <w:sz w:val="22"/>
          <w:szCs w:val="22"/>
        </w:rPr>
        <w:t xml:space="preserve">Long-term contracts: Denominated in reserve asset for temporal continuity (T→1 across time)</w:t>
      </w:r>
    </w:p>
    <w:p>
      <w:pPr>
        <w:pStyle w:val="ListParagraph"/>
        <w:numPr>
          <w:ilvl w:val="0"/>
          <w:numId w:val="2"/>
        </w:numPr>
        <w:spacing w:before="60" w:after="60"/>
      </w:pPr>
      <w:r>
        <w:rPr>
          <w:rFonts w:ascii="Arial" w:cs="Arial" w:eastAsia="Arial" w:hAnsi="Arial"/>
          <w:sz w:val="22"/>
          <w:szCs w:val="22"/>
        </w:rPr>
        <w:t xml:space="preserve">Generational wealth: Measured in reserve asset to preserve purchasing power across the three-phase lifecycle</w:t>
      </w:r>
    </w:p>
    <w:p>
      <w:pPr>
        <w:spacing w:before="100" w:after="140"/>
        <w:jc w:val="both"/>
      </w:pPr>
      <w:r>
        <w:rPr>
          <w:rFonts w:ascii="Arial" w:cs="Arial" w:eastAsia="Arial" w:hAnsi="Arial"/>
          <w:sz w:val="22"/>
          <w:szCs w:val="22"/>
        </w:rPr>
        <w:t xml:space="preserve">The correspondent banking system becomes unnecessary not because it is replaced by a better system of the same type, but because the structural condition that required it — fiat as cross-border CₘE with A &lt; 1 — no longer exists.</w:t>
      </w:r>
    </w:p>
    <w:p>
      <w:pPr>
        <w:pStyle w:val="Heading2"/>
        <w:spacing w:before="280" w:after="140"/>
      </w:pPr>
      <w:r>
        <w:rPr>
          <w:rFonts w:ascii="Arial" w:cs="Arial" w:eastAsia="Arial" w:hAnsi="Arial"/>
          <w:b/>
          <w:bCs/>
          <w:color w:val="2E5090"/>
          <w:sz w:val="26"/>
          <w:szCs w:val="26"/>
        </w:rPr>
        <w:t xml:space="preserve">7.3 MONITOR and SCRIBE at the Trade Layer</w:t>
      </w:r>
    </w:p>
    <w:p>
      <w:pPr>
        <w:spacing w:before="100" w:after="140"/>
        <w:jc w:val="both"/>
      </w:pPr>
      <w:r>
        <w:rPr>
          <w:rFonts w:ascii="Arial" w:cs="Arial" w:eastAsia="Arial" w:hAnsi="Arial"/>
          <w:sz w:val="22"/>
          <w:szCs w:val="22"/>
        </w:rPr>
        <w:t xml:space="preserve">International trade networks are commitment networks. The governance primitives apply:</w:t>
      </w:r>
    </w:p>
    <w:p>
      <w:pPr>
        <w:pStyle w:val="ListParagraph"/>
        <w:numPr>
          <w:ilvl w:val="0"/>
          <w:numId w:val="2"/>
        </w:numPr>
        <w:spacing w:before="60" w:after="60"/>
      </w:pPr>
      <w:r>
        <w:rPr>
          <w:rFonts w:ascii="Arial" w:cs="Arial" w:eastAsia="Arial" w:hAnsi="Arial"/>
          <w:sz w:val="22"/>
          <w:szCs w:val="22"/>
        </w:rPr>
        <w:t xml:space="preserve">MONITOR: Continuous surveillance of Fabric coordinates (D, μ, λ) across bilateral trade networks. Detects coherence Φ degradation before it cascades. Flags when Rᴰ is approaching mode boundaries.</w:t>
      </w:r>
    </w:p>
    <w:p>
      <w:pPr>
        <w:pStyle w:val="ListParagraph"/>
        <w:numPr>
          <w:ilvl w:val="0"/>
          <w:numId w:val="2"/>
        </w:numPr>
        <w:spacing w:before="60" w:after="60"/>
      </w:pPr>
      <w:r>
        <w:rPr>
          <w:rFonts w:ascii="Arial" w:cs="Arial" w:eastAsia="Arial" w:hAnsi="Arial"/>
          <w:sz w:val="22"/>
          <w:szCs w:val="22"/>
        </w:rPr>
        <w:t xml:space="preserve">SCRIBE: Maintains μ against DECEIVE intrusions at the trade layer — false trade statistics, origin misrepresentation, sanctions evasion through identity substitution. μ_local(H) = 0 when any verification capacity is zero; SCRIBE maintains all five.</w:t>
      </w:r>
    </w:p>
    <w:p>
      <w:pPr>
        <w:pStyle w:val="ListParagraph"/>
        <w:numPr>
          <w:ilvl w:val="0"/>
          <w:numId w:val="2"/>
        </w:numPr>
        <w:spacing w:before="60" w:after="60"/>
      </w:pPr>
      <w:r>
        <w:rPr>
          <w:rFonts w:ascii="Arial" w:cs="Arial" w:eastAsia="Arial" w:hAnsi="Arial"/>
          <w:sz w:val="22"/>
          <w:szCs w:val="22"/>
        </w:rPr>
        <w:t xml:space="preserve">SECURE: Reinforces D against COERCE intrusions — economic coercion, sanctions designed to force Rᴰ &gt; 1-e⁻¹ (Isolation), market manipulation targeting structural coherence of trading networks.</w:t>
      </w:r>
    </w:p>
    <w:p>
      <w:pPr>
        <w:pStyle w:val="ListParagraph"/>
        <w:numPr>
          <w:ilvl w:val="0"/>
          <w:numId w:val="2"/>
        </w:numPr>
        <w:spacing w:before="60" w:after="60"/>
      </w:pPr>
      <w:r>
        <w:rPr>
          <w:rFonts w:ascii="Arial" w:cs="Arial" w:eastAsia="Arial" w:hAnsi="Arial"/>
          <w:sz w:val="22"/>
          <w:szCs w:val="22"/>
        </w:rPr>
        <w:t xml:space="preserve">MODULATE: Regulates λ against EXTRACT intrusions — terms-of-trade deterioration, resource extraction without reciprocal compensation, financial flows that drain Pulse from trading partners without value creation.</w:t>
      </w:r>
    </w:p>
    <w:p>
      <w:pPr>
        <w:pStyle w:val="Heading1"/>
        <w:spacing w:before="360" w:after="180"/>
      </w:pPr>
      <w:r>
        <w:rPr>
          <w:rFonts w:ascii="Arial" w:cs="Arial" w:eastAsia="Arial" w:hAnsi="Arial"/>
          <w:b/>
          <w:bCs/>
          <w:color w:val="1F3864"/>
          <w:sz w:val="32"/>
          <w:szCs w:val="32"/>
        </w:rPr>
        <w:t xml:space="preserve">8. Key Theorems</w:t>
      </w:r>
    </w:p>
    <w:p>
      <w:pPr>
        <w:pStyle w:val="Heading2"/>
        <w:spacing w:before="280" w:after="140"/>
      </w:pPr>
      <w:r>
        <w:rPr>
          <w:rFonts w:ascii="Arial" w:cs="Arial" w:eastAsia="Arial" w:hAnsi="Arial"/>
          <w:b/>
          <w:bCs/>
          <w:color w:val="2E5090"/>
          <w:sz w:val="26"/>
          <w:szCs w:val="26"/>
        </w:rPr>
        <w:t xml:space="preserve">Theorem T-01 (Trade Mode Necessity)</w:t>
      </w:r>
    </w:p>
    <w:p>
      <w:pPr>
        <w:spacing w:before="100" w:after="140"/>
        <w:jc w:val="both"/>
      </w:pPr>
      <w:r>
        <w:rPr>
          <w:rFonts w:ascii="Arial" w:cs="Arial" w:eastAsia="Arial" w:hAnsi="Arial"/>
          <w:sz w:val="22"/>
          <w:szCs w:val="22"/>
        </w:rPr>
        <w:t xml:space="preserve">Genuine international trade requires Interference mode (Rᴰ &lt; e⁻¹). Exchange mode permits only INC via CₘE and preserves Σ EV with Φ unchanged. ROT, direct INC, and dependency graph construction across national boundaries require Rᴰ &lt; e⁻¹. Therefore comparative advantage, supply chain integration, and standards harmonization — the defining features of genuine trade — are Interference-mode phenomena.</w:t>
      </w:r>
    </w:p>
    <w:p>
      <w:pPr>
        <w:pStyle w:val="Heading2"/>
        <w:spacing w:before="280" w:after="140"/>
      </w:pPr>
      <w:r>
        <w:rPr>
          <w:rFonts w:ascii="Arial" w:cs="Arial" w:eastAsia="Arial" w:hAnsi="Arial"/>
          <w:b/>
          <w:bCs/>
          <w:color w:val="2E5090"/>
          <w:sz w:val="26"/>
          <w:szCs w:val="26"/>
        </w:rPr>
        <w:t xml:space="preserve">Theorem T-02 (Reserve Asset Uniqueness)</w:t>
      </w:r>
    </w:p>
    <w:p>
      <w:pPr>
        <w:spacing w:before="100" w:after="140"/>
        <w:jc w:val="both"/>
      </w:pPr>
      <w:r>
        <w:rPr>
          <w:rFonts w:ascii="Arial" w:cs="Arial" w:eastAsia="Arial" w:hAnsi="Arial"/>
          <w:sz w:val="22"/>
          <w:szCs w:val="22"/>
        </w:rPr>
        <w:t xml:space="preserve">A commitment achieving V→1, A→1, T→1 is the unique cross-border Medium of Exchange that introduces no structural failures. Proof: Any commitment with A &lt; 1 introduces a Liable Authority whose resistance Rℓ applies to every transaction, whose frame must achieve ℐ = +1 with all parties, and whose temporal T degrades at rate λ. Only A→1, achieved through structural independence with no single Liable Authority, eliminates all three failure modes simultaneously. ∧</w:t>
      </w:r>
    </w:p>
    <w:p>
      <w:pPr>
        <w:pStyle w:val="Heading2"/>
        <w:spacing w:before="280" w:after="140"/>
      </w:pPr>
      <w:r>
        <w:rPr>
          <w:rFonts w:ascii="Arial" w:cs="Arial" w:eastAsia="Arial" w:hAnsi="Arial"/>
          <w:b/>
          <w:bCs/>
          <w:color w:val="2E5090"/>
          <w:sz w:val="26"/>
          <w:szCs w:val="26"/>
        </w:rPr>
        <w:t xml:space="preserve">Theorem T-03 (Coherence Premium)</w:t>
      </w:r>
    </w:p>
    <w:p>
      <w:pPr>
        <w:spacing w:before="100" w:after="140"/>
        <w:jc w:val="both"/>
      </w:pPr>
      <w:r>
        <w:rPr>
          <w:rFonts w:ascii="Arial" w:cs="Arial" w:eastAsia="Arial" w:hAnsi="Arial"/>
          <w:sz w:val="22"/>
          <w:szCs w:val="22"/>
        </w:rPr>
        <w:t xml:space="preserve">The value of a bilateral trade relationship at Interference mode exceeds the sum of individual transaction values by the coherence premium k₁Φᵢⱼ = ln 2 · (1 - Rᴰ(i,j)). This premium is a conserved quantity under the Interference mode conservation law. Severing the relationship destroys this premium permanently; it cannot be restored by restoring transaction volumes alone.</w:t>
      </w:r>
    </w:p>
    <w:p>
      <w:pPr>
        <w:pStyle w:val="Heading2"/>
        <w:spacing w:before="280" w:after="140"/>
      </w:pPr>
      <w:r>
        <w:rPr>
          <w:rFonts w:ascii="Arial" w:cs="Arial" w:eastAsia="Arial" w:hAnsi="Arial"/>
          <w:b/>
          <w:bCs/>
          <w:color w:val="2E5090"/>
          <w:sz w:val="26"/>
          <w:szCs w:val="26"/>
        </w:rPr>
        <w:t xml:space="preserve">Theorem T-04 (Identity Non-Transferability)</w:t>
      </w:r>
    </w:p>
    <w:p>
      <w:pPr>
        <w:spacing w:before="100" w:after="140"/>
        <w:jc w:val="both"/>
      </w:pPr>
      <w:r>
        <w:rPr>
          <w:rFonts w:ascii="Arial" w:cs="Arial" w:eastAsia="Arial" w:hAnsi="Arial"/>
          <w:sz w:val="22"/>
          <w:szCs w:val="22"/>
        </w:rPr>
        <w:t xml:space="preserve">Quantum-resistant authentication requires T = 0 for the identity commitment. Proof: Quantum attack computes the Male⁺ function from the Female⁰ function when both are mathematical objects. If T &gt; 0, the Male⁺ function can propagate and therefore exists independently of H in a form attackable by quantum computation. T = 0 means the Male⁺ function exists only as μ_local(H), which is not a mathematical object and therefore has no quantum attack surface. ∧</w:t>
      </w:r>
    </w:p>
    <w:p>
      <w:pPr>
        <w:pStyle w:val="Heading2"/>
        <w:spacing w:before="280" w:after="140"/>
      </w:pPr>
      <w:r>
        <w:rPr>
          <w:rFonts w:ascii="Arial" w:cs="Arial" w:eastAsia="Arial" w:hAnsi="Arial"/>
          <w:b/>
          <w:bCs/>
          <w:color w:val="2E5090"/>
          <w:sz w:val="26"/>
          <w:szCs w:val="26"/>
        </w:rPr>
        <w:t xml:space="preserve">Theorem T-05 (Architecture Completeness)</w:t>
      </w:r>
    </w:p>
    <w:p>
      <w:pPr>
        <w:spacing w:before="100" w:after="140"/>
        <w:jc w:val="both"/>
      </w:pPr>
      <w:r>
        <w:rPr>
          <w:rFonts w:ascii="Arial" w:cs="Arial" w:eastAsia="Arial" w:hAnsi="Arial"/>
          <w:sz w:val="22"/>
          <w:szCs w:val="22"/>
        </w:rPr>
        <w:t xml:space="preserve">The three-layer architecture (identity layer T=0, relational layer Interference mode, reserve anchor V→1, A→1, T→1) is necessary and sufficient for a structurally correct international trade system. Necessity: each layer eliminates a distinct class of structural failure (authentication vulnerability, mediation cost, temporal value leakage). Sufficiency: together they permit all trade operations (ROT, direct INC, dependency construction, long-term denomination) without introducing structural failures. ∧</w:t>
      </w:r>
    </w:p>
    <w:p>
      <w:pPr>
        <w:pStyle w:val="Heading2"/>
        <w:spacing w:before="280" w:after="140"/>
      </w:pPr>
      <w:r>
        <w:rPr>
          <w:rFonts w:ascii="Arial" w:cs="Arial" w:eastAsia="Arial" w:hAnsi="Arial"/>
          <w:b/>
          <w:bCs/>
          <w:color w:val="2E5090"/>
          <w:sz w:val="26"/>
          <w:szCs w:val="26"/>
        </w:rPr>
        <w:t xml:space="preserve">Theorem T-06 (Perspective Collapse)</w:t>
      </w:r>
    </w:p>
    <w:p>
      <w:pPr>
        <w:spacing w:before="100" w:after="140"/>
        <w:jc w:val="both"/>
      </w:pPr>
      <w:r>
        <w:rPr>
          <w:rFonts w:ascii="Arial" w:cs="Arial" w:eastAsia="Arial" w:hAnsi="Arial"/>
          <w:sz w:val="22"/>
          <w:szCs w:val="22"/>
        </w:rPr>
        <w:t xml:space="preserve">For any operational currency with Liable Authority L, the anchor parameters evaluated by a foreign H satisfy V → 0, A → 0, T → 0, producing realized value V̂ᴴ(C, foreign H) → 0 regardless of the currency’s domestic anchor parameter profile.</w:t>
      </w:r>
    </w:p>
    <w:p>
      <w:pPr>
        <w:spacing w:before="100" w:after="140"/>
        <w:jc w:val="both"/>
      </w:pPr>
      <w:r>
        <w:rPr>
          <w:rFonts w:ascii="Arial" w:cs="Arial" w:eastAsia="Arial" w:hAnsi="Arial"/>
          <w:sz w:val="22"/>
          <w:szCs w:val="22"/>
        </w:rPr>
        <w:t xml:space="preserve">Proof: (V → 0) The foreign H has no direct observational access to L’s conduct — only mediated representations. V measures what H can actually observe. Without direct access, V is bounded by the fidelity of the mediation channel, which L controls or influences. In the limit, V → 0. (A → 0) A measures the stability of value realization. For the foreign H, realization depends on L’s willingness to honour the commitment for non-domestic holders. This is discretionary — L can set A → 0 through sanctions, capital controls, or asset freezes without recourse. A is structurally ungrounded for the foreign H because H cannot verify or enforce the commitment against L. In the limit, A → 0. (T → 0) Cross-border transfer of operational currency requires permissions from L, receiving sovereign, and intermediaries — none of which H controls. Any permission can be withdrawn unilaterally. In the limit, T → 0. Therefore V̂ᴴ(C, foreign H) = CV₀ · V · A · (1+T) → 0. ∧</w:t>
      </w:r>
    </w:p>
    <w:p>
      <w:pPr>
        <w:spacing w:before="100" w:after="140"/>
        <w:jc w:val="both"/>
      </w:pPr>
      <w:r>
        <w:rPr>
          <w:rFonts w:ascii="Arial" w:cs="Arial" w:eastAsia="Arial" w:hAnsi="Arial"/>
          <w:sz w:val="22"/>
          <w:szCs w:val="22"/>
        </w:rPr>
        <w:t xml:space="preserve">Corollary T-06.1 (Compensation Necessity): The foreign H requires ||Comp_foreign|| ≥ CV₀ to make holding operational currency rational. This compensation — yield, geopolitical alignment, market access, security guarantees — is the structural basis of reserve currency privilege. Its withdrawal triggers exit, not gradually but as a threshold crossing when the compensation no longer bridges the gap.</w:t>
      </w:r>
    </w:p>
    <w:p>
      <w:pPr>
        <w:spacing w:before="100" w:after="140"/>
        <w:jc w:val="both"/>
      </w:pPr>
      <w:r>
        <w:rPr>
          <w:rFonts w:ascii="Arial" w:cs="Arial" w:eastAsia="Arial" w:hAnsi="Arial"/>
          <w:sz w:val="22"/>
          <w:szCs w:val="22"/>
        </w:rPr>
        <w:t xml:space="preserve">Corollary T-06.2 (Sanctions Paradox): Each exercise of L’s discretion to set A → 0 for a specific foreign H reduces A_foreign for all non-domestic holders simultaneously, because A_foreign is a function of the observed probability that L exercises this discretion. Targeted sanctions are global A-parameter reductions for all foreign holders.</w:t>
      </w:r>
    </w:p>
    <w:p>
      <w:pPr>
        <w:pStyle w:val="Heading1"/>
        <w:spacing w:before="360" w:after="180"/>
      </w:pPr>
      <w:r>
        <w:rPr>
          <w:rFonts w:ascii="Arial" w:cs="Arial" w:eastAsia="Arial" w:hAnsi="Arial"/>
          <w:b/>
          <w:bCs/>
          <w:color w:val="1F3864"/>
          <w:sz w:val="32"/>
          <w:szCs w:val="32"/>
        </w:rPr>
        <w:t xml:space="preserve">9. Summary</w:t>
      </w:r>
    </w:p>
    <w:p>
      <w:pPr>
        <w:spacing w:before="100" w:after="140"/>
        <w:jc w:val="both"/>
      </w:pPr>
      <w:r>
        <w:rPr>
          <w:rFonts w:ascii="Arial" w:cs="Arial" w:eastAsia="Arial" w:hAnsi="Arial"/>
          <w:sz w:val="22"/>
          <w:szCs w:val="22"/>
        </w:rPr>
        <w:t xml:space="preserve">International trade is not an Exchange-mode phenomenon. It is an Interference-mode phenomenon that has been designed with Exchange-mode infrastructure. The mismatch is the source of correspondent banking costs, FX friction, supply chain fragility, and the structural instability of reserve currency hegemony.</w:t>
      </w:r>
    </w:p>
    <w:p>
      <w:pPr>
        <w:spacing w:before="100" w:after="140"/>
        <w:jc w:val="both"/>
      </w:pPr>
      <w:r>
        <w:rPr>
          <w:rFonts w:ascii="Arial" w:cs="Arial" w:eastAsia="Arial" w:hAnsi="Arial"/>
          <w:sz w:val="22"/>
          <w:szCs w:val="22"/>
        </w:rPr>
        <w:t xml:space="preserve">The reserve asset with V→1, A→1, T→1 is not one policy option among others. It is the structurally correct common frame anchor for cross-border value denomination. Fiat cannot serve this function because A &lt; 1 — it always introduces a Liable Authority whose interests diverge from the anchor function it is being asked to perform.</w:t>
      </w:r>
    </w:p>
    <w:p>
      <w:pPr>
        <w:spacing w:before="100" w:after="140"/>
        <w:jc w:val="both"/>
      </w:pPr>
      <w:r>
        <w:rPr>
          <w:rFonts w:ascii="Arial" w:cs="Arial" w:eastAsia="Arial" w:hAnsi="Arial"/>
          <w:sz w:val="22"/>
          <w:szCs w:val="22"/>
        </w:rPr>
        <w:t xml:space="preserve">Identity as memory carrier with T = 0 is not one authentication scheme among others. It is the structurally correct authentication architecture for the quantum era. The private key with T &gt; 0 is the source of quantum vulnerability. T = 0 eliminates the attack surface by making the Male⁺ function inseparable from H.</w:t>
      </w:r>
    </w:p>
    <w:p>
      <w:pPr>
        <w:spacing w:before="100" w:after="140"/>
        <w:jc w:val="both"/>
      </w:pPr>
      <w:r>
        <w:rPr>
          <w:rFonts w:ascii="Arial" w:cs="Arial" w:eastAsia="Arial" w:hAnsi="Arial"/>
          <w:sz w:val="22"/>
          <w:szCs w:val="22"/>
        </w:rPr>
        <w:t xml:space="preserve">The correct architecture — identity layer, Interference-mode relational layer, reserve anchor — does not improve the current system. It replaces the structural conditions that made the current system’s failures inevitable.</w:t>
      </w:r>
    </w:p>
    <w:p>
      <w:pPr>
        <w:pBdr>
          <w:bottom w:val="single" w:color="2E5090"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References</w:t>
      </w:r>
    </w:p>
    <w:p>
      <w:pPr>
        <w:pStyle w:val="Heading2"/>
        <w:spacing w:before="280" w:after="140"/>
      </w:pPr>
      <w:r>
        <w:rPr>
          <w:rFonts w:ascii="Arial" w:cs="Arial" w:eastAsia="Arial" w:hAnsi="Arial"/>
          <w:b/>
          <w:bCs/>
          <w:color w:val="2E5090"/>
          <w:sz w:val="26"/>
          <w:szCs w:val="26"/>
        </w:rPr>
        <w:t xml:space="preserve">Commitment Mathematics (Primary Framework)</w:t>
      </w:r>
    </w:p>
    <w:p>
      <w:pPr>
        <w:spacing w:before="100" w:after="140"/>
        <w:jc w:val="left"/>
      </w:pPr>
      <w:r>
        <w:rPr>
          <w:rFonts w:ascii="Arial" w:cs="Arial" w:eastAsia="Arial" w:hAnsi="Arial"/>
          <w:sz w:val="22"/>
          <w:szCs w:val="22"/>
        </w:rPr>
        <w:t xml:space="preserve">Isong, O.B. (2026). Commitment Mathematics: Complete Formalism 4.0. Genie Capital Ltd.</w:t>
      </w:r>
    </w:p>
    <w:p>
      <w:pPr>
        <w:spacing w:before="100" w:after="140"/>
        <w:jc w:val="left"/>
      </w:pPr>
      <w:r>
        <w:rPr>
          <w:rFonts w:ascii="Arial" w:cs="Arial" w:eastAsia="Arial" w:hAnsi="Arial"/>
          <w:sz w:val="22"/>
          <w:szCs w:val="22"/>
        </w:rPr>
        <w:t xml:space="preserve">Isong, O.B. (2026). Commitment Mathematics Addendum 1: Formal Resolutions. Genie Capital Ltd.</w:t>
      </w:r>
    </w:p>
    <w:p>
      <w:pPr>
        <w:spacing w:before="100" w:after="140"/>
        <w:jc w:val="left"/>
      </w:pPr>
      <w:r>
        <w:rPr>
          <w:rFonts w:ascii="Arial" w:cs="Arial" w:eastAsia="Arial" w:hAnsi="Arial"/>
          <w:sz w:val="22"/>
          <w:szCs w:val="22"/>
        </w:rPr>
        <w:t xml:space="preserve">Isong, O.B. (2026). From 1D to 6D: The Relational Foundation of Reality. Genie Capital Ltd.</w:t>
      </w:r>
    </w:p>
    <w:p>
      <w:pPr>
        <w:spacing w:before="100" w:after="140"/>
        <w:jc w:val="left"/>
      </w:pPr>
      <w:r>
        <w:rPr>
          <w:rFonts w:ascii="Arial" w:cs="Arial" w:eastAsia="Arial" w:hAnsi="Arial"/>
          <w:sz w:val="22"/>
          <w:szCs w:val="22"/>
        </w:rPr>
        <w:t xml:space="preserve">Isong, O.B. (2026). The Commitment Field: A Complete Treatment of the Fabric in Commitment Mathematics. Genie Capital Ltd.</w:t>
      </w:r>
    </w:p>
    <w:p>
      <w:pPr>
        <w:spacing w:before="100" w:after="140"/>
        <w:jc w:val="left"/>
      </w:pPr>
      <w:r>
        <w:rPr>
          <w:rFonts w:ascii="Arial" w:cs="Arial" w:eastAsia="Arial" w:hAnsi="Arial"/>
          <w:sz w:val="22"/>
          <w:szCs w:val="22"/>
        </w:rPr>
        <w:t xml:space="preserve">Isong, O.B. (2026). Law 13: Reserve Asset 2.0. Genie Capital Ltd.</w:t>
      </w:r>
    </w:p>
    <w:p>
      <w:pPr>
        <w:spacing w:before="100" w:after="140"/>
        <w:jc w:val="left"/>
      </w:pPr>
      <w:r>
        <w:rPr>
          <w:rFonts w:ascii="Arial" w:cs="Arial" w:eastAsia="Arial" w:hAnsi="Arial"/>
          <w:sz w:val="22"/>
          <w:szCs w:val="22"/>
        </w:rPr>
        <w:t xml:space="preserve">Isong, O.B. (2026). Ubuntu || Commitment Mathematics: The Formalization of Relational Ontology. Genie Capital Ltd.</w:t>
      </w:r>
    </w:p>
    <w:p>
      <w:pPr>
        <w:pStyle w:val="Heading2"/>
        <w:spacing w:before="280" w:after="140"/>
      </w:pPr>
      <w:r>
        <w:rPr>
          <w:rFonts w:ascii="Arial" w:cs="Arial" w:eastAsia="Arial" w:hAnsi="Arial"/>
          <w:b/>
          <w:bCs/>
          <w:color w:val="2E5090"/>
          <w:sz w:val="26"/>
          <w:szCs w:val="26"/>
        </w:rPr>
        <w:t xml:space="preserve">International Trade Theory</w:t>
      </w:r>
    </w:p>
    <w:p>
      <w:pPr>
        <w:spacing w:before="100" w:after="140"/>
        <w:jc w:val="left"/>
      </w:pPr>
      <w:r>
        <w:rPr>
          <w:rFonts w:ascii="Arial" w:cs="Arial" w:eastAsia="Arial" w:hAnsi="Arial"/>
          <w:sz w:val="22"/>
          <w:szCs w:val="22"/>
        </w:rPr>
        <w:t xml:space="preserve">Ricardo, D. (1817). On the Principles of Political Economy and Taxation. John Murray. [Chapter 7: On Foreign Trade — foundational statement of comparative advantage as static, substance-first framework whose limitations this paper addresses.]</w:t>
      </w:r>
    </w:p>
    <w:p>
      <w:pPr>
        <w:spacing w:before="100" w:after="140"/>
        <w:jc w:val="left"/>
      </w:pPr>
      <w:r>
        <w:rPr>
          <w:rFonts w:ascii="Arial" w:cs="Arial" w:eastAsia="Arial" w:hAnsi="Arial"/>
          <w:sz w:val="22"/>
          <w:szCs w:val="22"/>
        </w:rPr>
        <w:t xml:space="preserve">Heckscher, E. (1919). The Effect of Foreign Trade on the Distribution of Income. Ekonomisk Tidskrift, 21, 497–512. Ohlin, B. (1933). Interregional and International Trade. Harvard University Press. [Factor endowment model: comparative advantage derived from resource abundance, treating trade as Exchange-mode spot allocation.]</w:t>
      </w:r>
    </w:p>
    <w:p>
      <w:pPr>
        <w:spacing w:before="100" w:after="140"/>
        <w:jc w:val="left"/>
      </w:pPr>
      <w:r>
        <w:rPr>
          <w:rFonts w:ascii="Arial" w:cs="Arial" w:eastAsia="Arial" w:hAnsi="Arial"/>
          <w:sz w:val="22"/>
          <w:szCs w:val="22"/>
        </w:rPr>
        <w:t xml:space="preserve">Dornbusch, R., Fischer, S., &amp; Samuelson, P.A. (1977). Comparative Advantage, Trade, and Payments in a Ricardian Model with a Continuum of Goods. American Economic Review, 67(5), 823–839. [Extension to continuous commodity space; still operates within Exchange-mode assumptions.]</w:t>
      </w:r>
    </w:p>
    <w:p>
      <w:pPr>
        <w:spacing w:before="100" w:after="140"/>
        <w:jc w:val="left"/>
      </w:pPr>
      <w:r>
        <w:rPr>
          <w:rFonts w:ascii="Arial" w:cs="Arial" w:eastAsia="Arial" w:hAnsi="Arial"/>
          <w:sz w:val="22"/>
          <w:szCs w:val="22"/>
        </w:rPr>
        <w:t xml:space="preserve">Krugman, P.R. (1979). Increasing Returns, Monopolistic Competition, and International Trade. Journal of International Economics, 9(4), 469–479. [New trade theory: intra-industry trade from economies of scale — first recognition that trade patterns are not fully explained by static comparative advantage, pointing toward relational dynamics this paper formalizes.]</w:t>
      </w:r>
    </w:p>
    <w:p>
      <w:pPr>
        <w:spacing w:before="100" w:after="140"/>
        <w:jc w:val="left"/>
      </w:pPr>
      <w:r>
        <w:rPr>
          <w:rFonts w:ascii="Arial" w:cs="Arial" w:eastAsia="Arial" w:hAnsi="Arial"/>
          <w:sz w:val="22"/>
          <w:szCs w:val="22"/>
        </w:rPr>
        <w:t xml:space="preserve">Deardorff, A.V. (1984). The General Validity of the Law of Comparative Advantage. Journal of Political Economy, 92(5), 941–957. [Generalization of comparative advantage; demonstrates the theory’s limits precisely where CM’s Interference-mode analysis begins.]</w:t>
      </w:r>
    </w:p>
    <w:p>
      <w:pPr>
        <w:spacing w:before="100" w:after="140"/>
        <w:jc w:val="left"/>
      </w:pPr>
      <w:r>
        <w:rPr>
          <w:rFonts w:ascii="Arial" w:cs="Arial" w:eastAsia="Arial" w:hAnsi="Arial"/>
          <w:sz w:val="22"/>
          <w:szCs w:val="22"/>
        </w:rPr>
        <w:t xml:space="preserve">Schumacher, R. (2012). Deconstructing the Theory of Comparative Advantage. World Economic Review, 1, 83–105. [Systematic critique of comparative advantage assumptions — capital immobility, balanced trade, full employment — which CM’s relational ontology resolves structurally rather than empirically.]</w:t>
      </w:r>
    </w:p>
    <w:p>
      <w:pPr>
        <w:spacing w:before="100" w:after="140"/>
        <w:jc w:val="left"/>
      </w:pPr>
      <w:r>
        <w:rPr>
          <w:rFonts w:ascii="Arial" w:cs="Arial" w:eastAsia="Arial" w:hAnsi="Arial"/>
          <w:sz w:val="22"/>
          <w:szCs w:val="22"/>
        </w:rPr>
        <w:t xml:space="preserve">Baldwin, R. (2016). The Great Convergence: Information Technology and the New Globalization. Harvard University Press. [Documents the shift from trade-in-goods to trade-in-tasks through global value chains — empirical evidence for what CM identifies as Interference-mode dependency graph construction operating without Interference-mode infrastructure.]</w:t>
      </w:r>
    </w:p>
    <w:p>
      <w:pPr>
        <w:pStyle w:val="Heading2"/>
        <w:spacing w:before="280" w:after="140"/>
      </w:pPr>
      <w:r>
        <w:rPr>
          <w:rFonts w:ascii="Arial" w:cs="Arial" w:eastAsia="Arial" w:hAnsi="Arial"/>
          <w:b/>
          <w:bCs/>
          <w:color w:val="2E5090"/>
          <w:sz w:val="26"/>
          <w:szCs w:val="26"/>
        </w:rPr>
        <w:t xml:space="preserve">Cross-Border Payments and Correspondent Banking</w:t>
      </w:r>
    </w:p>
    <w:p>
      <w:pPr>
        <w:spacing w:before="100" w:after="140"/>
        <w:jc w:val="left"/>
      </w:pPr>
      <w:r>
        <w:rPr>
          <w:rFonts w:ascii="Arial" w:cs="Arial" w:eastAsia="Arial" w:hAnsi="Arial"/>
          <w:sz w:val="22"/>
          <w:szCs w:val="22"/>
        </w:rPr>
        <w:t xml:space="preserve">Bank for International Settlements — Committee on Payments and Market Infrastructures (2020). Enhancing Cross-Border Payments: Stage 1 Report to the G20. BIS. [Canonical documentation of the four frictions: high cost, low speed, limited access, insufficient transparency — each a manifestation of the structural failure CM identifies in fiat-mediated Exchange-mode transfer.]</w:t>
      </w:r>
    </w:p>
    <w:p>
      <w:pPr>
        <w:spacing w:before="100" w:after="140"/>
        <w:jc w:val="left"/>
      </w:pPr>
      <w:r>
        <w:rPr>
          <w:rFonts w:ascii="Arial" w:cs="Arial" w:eastAsia="Arial" w:hAnsi="Arial"/>
          <w:sz w:val="22"/>
          <w:szCs w:val="22"/>
        </w:rPr>
        <w:t xml:space="preserve">Financial Stability Board (2020). Enhancing Cross-Border Payments: Stage 2 Report. FSB. [G20 Roadmap: 19 building blocks addressing frictions. CM analysis shows these address symptoms of A &lt; 1 in the Medium of Exchange, not the structural source.]</w:t>
      </w:r>
    </w:p>
    <w:p>
      <w:pPr>
        <w:spacing w:before="100" w:after="140"/>
        <w:jc w:val="left"/>
      </w:pPr>
      <w:r>
        <w:rPr>
          <w:rFonts w:ascii="Arial" w:cs="Arial" w:eastAsia="Arial" w:hAnsi="Arial"/>
          <w:sz w:val="22"/>
          <w:szCs w:val="22"/>
        </w:rPr>
        <w:t xml:space="preserve">Rice, T., von Peter, G., &amp; Boar, C. (2020). On the Global Retreat of Correspondent Banks. BIS Quarterly Review, March 2020. [Documents 25% decline in active correspondent banking relationships 2011–2020 — structural contraction of the NEGOTIATE infrastructure required by fiat’s A &lt; 1.]</w:t>
      </w:r>
    </w:p>
    <w:p>
      <w:pPr>
        <w:spacing w:before="100" w:after="140"/>
        <w:jc w:val="left"/>
      </w:pPr>
      <w:r>
        <w:rPr>
          <w:rFonts w:ascii="Arial" w:cs="Arial" w:eastAsia="Arial" w:hAnsi="Arial"/>
          <w:sz w:val="22"/>
          <w:szCs w:val="22"/>
        </w:rPr>
        <w:t xml:space="preserve">IMF (2025). Estimating the Impact of Digital Money on Cross-Border Flows: Scenario Analysis. IMF FinTech Notes 2025/002. [Projects 80% reduction in correspondent banking revenue under multi-CBDC solutions — confirms CM’s identification of correspondent banking as unnecessary NEGOTIATE infrastructure, while CBDC still carries A &lt; 1 as a fiat-issued commitment.]</w:t>
      </w:r>
    </w:p>
    <w:p>
      <w:pPr>
        <w:spacing w:before="100" w:after="140"/>
        <w:jc w:val="left"/>
      </w:pPr>
      <w:r>
        <w:rPr>
          <w:rFonts w:ascii="Arial" w:cs="Arial" w:eastAsia="Arial" w:hAnsi="Arial"/>
          <w:sz w:val="22"/>
          <w:szCs w:val="22"/>
        </w:rPr>
        <w:t xml:space="preserve">FSB (2015–2023). Reports on the Decline in Correspondent Banking. Financial Stability Board. [Ongoing monitoring of correspondent banking de-risking — the systematic failure of the NEGOTIATE infrastructure that fiat-mediated cross-border transfer requires.]</w:t>
      </w:r>
    </w:p>
    <w:p>
      <w:pPr>
        <w:pStyle w:val="Heading2"/>
        <w:spacing w:before="280" w:after="140"/>
      </w:pPr>
      <w:r>
        <w:rPr>
          <w:rFonts w:ascii="Arial" w:cs="Arial" w:eastAsia="Arial" w:hAnsi="Arial"/>
          <w:b/>
          <w:bCs/>
          <w:color w:val="2E5090"/>
          <w:sz w:val="26"/>
          <w:szCs w:val="26"/>
        </w:rPr>
        <w:t xml:space="preserve">Reserve Asset, Monetary History, and Gold</w:t>
      </w:r>
    </w:p>
    <w:p>
      <w:pPr>
        <w:spacing w:before="100" w:after="140"/>
        <w:jc w:val="left"/>
      </w:pPr>
      <w:r>
        <w:rPr>
          <w:rFonts w:ascii="Arial" w:cs="Arial" w:eastAsia="Arial" w:hAnsi="Arial"/>
          <w:sz w:val="22"/>
          <w:szCs w:val="22"/>
        </w:rPr>
        <w:t xml:space="preserve">Triffin, R. (1960). Gold and the Dollar Crisis: The Future of Convertibility. Yale University Press. [The Triffin dilemma: a national currency serving as global reserve creates inherent conflict between domestic monetary policy and international reserve function. CM Theorem T-06 (Perspective Collapse) restates this structurally: the issuing sovereign’s optimisation of V, A, T for domestic H actively degrades the same parameters for foreign H, because the Liable Authority’s discretion — formalized as A &lt; 1 — always resolves in favour of the domestic H when conflict arises. The dilemma is not a paradox but a structural consequence of A &lt; 1 in any commitment with a Liable Authority.]</w:t>
      </w:r>
    </w:p>
    <w:p>
      <w:pPr>
        <w:spacing w:before="100" w:after="140"/>
        <w:jc w:val="left"/>
      </w:pPr>
      <w:r>
        <w:rPr>
          <w:rFonts w:ascii="Arial" w:cs="Arial" w:eastAsia="Arial" w:hAnsi="Arial"/>
          <w:sz w:val="22"/>
          <w:szCs w:val="22"/>
        </w:rPr>
        <w:t xml:space="preserve">Eichengreen, B. (2011). Exorbitant Privilege: The Rise and Fall of the Dollar and the Future of the International Monetary System. Oxford University Press. [Documents the structural advantages and structural limits of dollar reserve hegemony — empirical history of what CM identifies as the consequences of A &lt; 1 in the global Medium of Exchange.]</w:t>
      </w:r>
    </w:p>
    <w:p>
      <w:pPr>
        <w:spacing w:before="100" w:after="140"/>
        <w:jc w:val="left"/>
      </w:pPr>
      <w:r>
        <w:rPr>
          <w:rFonts w:ascii="Arial" w:cs="Arial" w:eastAsia="Arial" w:hAnsi="Arial"/>
          <w:sz w:val="22"/>
          <w:szCs w:val="22"/>
        </w:rPr>
        <w:t xml:space="preserve">Mundell, R.A. (1961). A Theory of Optimum Currency Areas. American Economic Review, 51(4), 657–665. [Optimal currency area theory: conditions under which shared monetary frames are beneficial — reframed in CM as the conditions under which ROT operations reducing Rᴰ are structurally warranted.]</w:t>
      </w:r>
    </w:p>
    <w:p>
      <w:pPr>
        <w:spacing w:before="100" w:after="140"/>
        <w:jc w:val="left"/>
      </w:pPr>
      <w:r>
        <w:rPr>
          <w:rFonts w:ascii="Arial" w:cs="Arial" w:eastAsia="Arial" w:hAnsi="Arial"/>
          <w:sz w:val="22"/>
          <w:szCs w:val="22"/>
        </w:rPr>
        <w:t xml:space="preserve">Bordo, M.D. (1993). The Bretton Woods International Monetary System: A Historical Overview. In M.D. Bordo &amp; B. Eichengreen (Eds.), A Retrospective on the Bretton Woods System. University of Chicago Press. [Historical analysis of the Bretton Woods genesis parity, controlled degradation, and reset failure — the three-phase lifecycle CM formalizes in Law 13.]</w:t>
      </w:r>
    </w:p>
    <w:p>
      <w:pPr>
        <w:spacing w:before="100" w:after="140"/>
        <w:jc w:val="left"/>
      </w:pPr>
      <w:r>
        <w:rPr>
          <w:rFonts w:ascii="Arial" w:cs="Arial" w:eastAsia="Arial" w:hAnsi="Arial"/>
          <w:sz w:val="22"/>
          <w:szCs w:val="22"/>
        </w:rPr>
        <w:t xml:space="preserve">Reinhart, C.M. &amp; Rogoff, K.S. (2009). This Time Is Different: Eight Centuries of Financial Folly. Princeton University Press. [Cross-civilizational empirical record of monetary system failures — validates CM’s claim that A → 0 for all fiat commitments over multi-generational timescales.]</w:t>
      </w:r>
    </w:p>
    <w:p>
      <w:pPr>
        <w:pStyle w:val="Heading2"/>
        <w:spacing w:before="280" w:after="140"/>
      </w:pPr>
      <w:r>
        <w:rPr>
          <w:rFonts w:ascii="Arial" w:cs="Arial" w:eastAsia="Arial" w:hAnsi="Arial"/>
          <w:b/>
          <w:bCs/>
          <w:color w:val="2E5090"/>
          <w:sz w:val="26"/>
          <w:szCs w:val="26"/>
        </w:rPr>
        <w:t xml:space="preserve">Institutional Economics and Transaction Costs</w:t>
      </w:r>
    </w:p>
    <w:p>
      <w:pPr>
        <w:spacing w:before="100" w:after="140"/>
        <w:jc w:val="left"/>
      </w:pPr>
      <w:r>
        <w:rPr>
          <w:rFonts w:ascii="Arial" w:cs="Arial" w:eastAsia="Arial" w:hAnsi="Arial"/>
          <w:sz w:val="22"/>
          <w:szCs w:val="22"/>
        </w:rPr>
        <w:t xml:space="preserve">Coase, R.H. (1937). The Nature of the Firm. Economica, 4(16), 386–405. [Transaction cost economics: firms exist to reduce the costs of market transactions — the costs CM formalizes as γⁿᵉᵍ · CV₀ per NEGOTIATE cycle. Coase’s insight that organizational structure is determined by transaction costs is a precursor to CM’s mode-dependent operation permissions.]</w:t>
      </w:r>
    </w:p>
    <w:p>
      <w:pPr>
        <w:spacing w:before="100" w:after="140"/>
        <w:jc w:val="left"/>
      </w:pPr>
      <w:r>
        <w:rPr>
          <w:rFonts w:ascii="Arial" w:cs="Arial" w:eastAsia="Arial" w:hAnsi="Arial"/>
          <w:sz w:val="22"/>
          <w:szCs w:val="22"/>
        </w:rPr>
        <w:t xml:space="preserve">North, D.C. (1990). Institutions, Institutional Change and Economic Performance. Cambridge University Press. [Institutions as the rules of the game reducing transaction costs — reframed in CM as ROT operations that reduce Rᴰ between commitment networks, enabling Interference-mode operations and coherence value accumulation.]</w:t>
      </w:r>
    </w:p>
    <w:p>
      <w:pPr>
        <w:spacing w:before="100" w:after="140"/>
        <w:jc w:val="left"/>
      </w:pPr>
      <w:r>
        <w:rPr>
          <w:rFonts w:ascii="Arial" w:cs="Arial" w:eastAsia="Arial" w:hAnsi="Arial"/>
          <w:sz w:val="22"/>
          <w:szCs w:val="22"/>
        </w:rPr>
        <w:t xml:space="preserve">Williamson, O.E. (1985). The Economic Institutions of Capitalism. Free Press. [Asset specificity and bilateral dependency in transactions — CM’s dependency graph construction at Interference mode formalizes the structural basis for what Williamson identifies as relational contracting.]</w:t>
      </w:r>
    </w:p>
    <w:p>
      <w:pPr>
        <w:pStyle w:val="Heading2"/>
        <w:spacing w:before="280" w:after="140"/>
      </w:pPr>
      <w:r>
        <w:rPr>
          <w:rFonts w:ascii="Arial" w:cs="Arial" w:eastAsia="Arial" w:hAnsi="Arial"/>
          <w:b/>
          <w:bCs/>
          <w:color w:val="2E5090"/>
          <w:sz w:val="26"/>
          <w:szCs w:val="26"/>
        </w:rPr>
        <w:t xml:space="preserve">Supply Chain and Global Value Chains</w:t>
      </w:r>
    </w:p>
    <w:p>
      <w:pPr>
        <w:spacing w:before="100" w:after="140"/>
        <w:jc w:val="left"/>
      </w:pPr>
      <w:r>
        <w:rPr>
          <w:rFonts w:ascii="Arial" w:cs="Arial" w:eastAsia="Arial" w:hAnsi="Arial"/>
          <w:sz w:val="22"/>
          <w:szCs w:val="22"/>
        </w:rPr>
        <w:t xml:space="preserve">Gereffi, G., Humphrey, J., &amp; Sturgeon, T. (2005). The Governance of Global Value Chains. Review of International Political Economy, 12(1), 78–104. [GVC governance structures — CM identifies these as dependency graph topologies operating at different modes, with governance structure determined by Rᴰ between participants.]</w:t>
      </w:r>
    </w:p>
    <w:p>
      <w:pPr>
        <w:spacing w:before="100" w:after="140"/>
        <w:jc w:val="left"/>
      </w:pPr>
      <w:r>
        <w:rPr>
          <w:rFonts w:ascii="Arial" w:cs="Arial" w:eastAsia="Arial" w:hAnsi="Arial"/>
          <w:sz w:val="22"/>
          <w:szCs w:val="22"/>
        </w:rPr>
        <w:t xml:space="preserve">BIS (2021). Ready, Steady, Go? Results of the Third BIS Survey on Central Bank Digital Currency. BIS Papers No. 114. [Survey of 65 central banks on CBDC development — documents the institutional search for cross-border payment infrastructure improvements that CM shows cannot be resolved by digital fiat while A &lt; 1 persists.]</w:t>
      </w:r>
    </w:p>
    <w:p>
      <w:pPr>
        <w:pStyle w:val="Heading2"/>
        <w:spacing w:before="280" w:after="140"/>
      </w:pPr>
      <w:r>
        <w:rPr>
          <w:rFonts w:ascii="Arial" w:cs="Arial" w:eastAsia="Arial" w:hAnsi="Arial"/>
          <w:b/>
          <w:bCs/>
          <w:color w:val="2E5090"/>
          <w:sz w:val="26"/>
          <w:szCs w:val="26"/>
        </w:rPr>
        <w:t xml:space="preserve">Quantum Computing and Post-Quantum Cryptography</w:t>
      </w:r>
    </w:p>
    <w:p>
      <w:pPr>
        <w:spacing w:before="100" w:after="140"/>
        <w:jc w:val="left"/>
      </w:pPr>
      <w:r>
        <w:rPr>
          <w:rFonts w:ascii="Arial" w:cs="Arial" w:eastAsia="Arial" w:hAnsi="Arial"/>
          <w:sz w:val="22"/>
          <w:szCs w:val="22"/>
        </w:rPr>
        <w:t xml:space="preserve">Shor, P.W. (1994). Algorithms for Quantum Computation: Discrete Logarithms and Factoring. Proceedings of the 35th Annual Symposium on Foundations of Computer Science, IEEE, 124–134. [Shor’s algorithm: quantum computation of discrete logarithms and integer factorization breaks RSA and elliptic curve cryptography — the formal basis for CM’s quantum attack on the Coupling structure of current authentication.]</w:t>
      </w:r>
    </w:p>
    <w:p>
      <w:pPr>
        <w:spacing w:before="100" w:after="140"/>
        <w:jc w:val="left"/>
      </w:pPr>
      <w:r>
        <w:rPr>
          <w:rFonts w:ascii="Arial" w:cs="Arial" w:eastAsia="Arial" w:hAnsi="Arial"/>
          <w:sz w:val="22"/>
          <w:szCs w:val="22"/>
        </w:rPr>
        <w:t xml:space="preserve">Grover, L.K. (1996). A Fast Quantum Mechanical Algorithm for Database Search. Proceedings of the 28th Annual ACM Symposium on Theory of Computing, 212–219. [Grover’s algorithm: quadratic speedup for unstructured search, halving the effective key length of symmetric cryptography — the second quantum attack vector against current payment rail security.]</w:t>
      </w:r>
    </w:p>
    <w:p>
      <w:pPr>
        <w:spacing w:before="100" w:after="140"/>
        <w:jc w:val="left"/>
      </w:pPr>
      <w:r>
        <w:rPr>
          <w:rFonts w:ascii="Arial" w:cs="Arial" w:eastAsia="Arial" w:hAnsi="Arial"/>
          <w:sz w:val="22"/>
          <w:szCs w:val="22"/>
        </w:rPr>
        <w:t xml:space="preserve">National Institute of Standards and Technology (2024). Post-Quantum Cryptography Standards: FIPS 203, 204, 205. NIST. [First post-quantum cryptographic standards, based on lattice and hash-based problems. CM analysis shows these raise D temporarily while fᵉˣᵗ continues to grow — a structural delay, not a structural resolution.]</w:t>
      </w:r>
    </w:p>
    <w:p>
      <w:pPr>
        <w:spacing w:before="100" w:after="140"/>
        <w:jc w:val="left"/>
      </w:pPr>
      <w:r>
        <w:rPr>
          <w:rFonts w:ascii="Arial" w:cs="Arial" w:eastAsia="Arial" w:hAnsi="Arial"/>
          <w:sz w:val="22"/>
          <w:szCs w:val="22"/>
        </w:rPr>
        <w:t xml:space="preserve">Bernstein, D.J. &amp; Lange, T. (2017). Post-Quantum Cryptography. Nature, 549, 188–194. [Overview of post-quantum approaches — CM’s identity-as-memory-carrier argument is the structural alternative: eliminating the mathematical attack surface rather than raising the mathematical difficulty.]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International Trade via Commitment Mathematics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2026-02-16T03:16:58.339Z</dcterms:created>
  <dcterms:modified xsi:type="dcterms:W3CDTF">2026-02-16T03:16:58.340Z</dcterms:modified>
</cp:coreProperties>
</file>

<file path=docProps/custom.xml><?xml version="1.0" encoding="utf-8"?>
<Properties xmlns="http://schemas.openxmlformats.org/officeDocument/2006/custom-properties" xmlns:vt="http://schemas.openxmlformats.org/officeDocument/2006/docPropsVTypes"/>
</file>