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Superconductivity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2E5FA3"/>
          <w:sz w:val="30"/>
          <w:szCs w:val="30"/>
        </w:rPr>
        <w:t xml:space="preserve">A Commitment Mathematics Account</w:t>
      </w:r>
    </w:p>
    <w:p>
      <w:pPr>
        <w:spacing w:before="8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Otto Beseka Isong  ·  Genie Capital Ltd  ·  February 2026</w:t>
      </w:r>
    </w:p>
    <w:p>
      <w:pPr>
        <w:pBdr>
          <w:bottom w:val="single" w:color="2E5FA3" w:sz="6" w:space="1"/>
        </w:pBdr>
        <w:spacing w:before="160" w:after="160"/>
      </w:pPr>
    </w:p>
    <w:p>
      <w:pPr>
        <w:spacing w:before="80" w:after="80"/>
      </w:pPr>
    </w:p>
    <w:p>
      <w:pPr>
        <w:pBdr>
          <w:left w:val="single" w:color="2E5FA3" w:sz="18" w:space="4"/>
        </w:pBdr>
        <w:shd w:fill="D6E4F7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Abstract.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Superconductivity is explained as a single governing condition on the coupling coefficient κ. When κ exceeds 0.8 across the electron network, electrons achieve gender complementarity, execute a JUMP operation to Cooper pair state, and the condensate enforces universal frame intersection ℐ = +1. Resistance is identified as the cost of imperfect frame alignment. Zero resistance is what universal ℐ = +1 looks like physically. This account unifies conventional, high-temperature, and room-temperature superconductivity under one equation and provides a geometric design principle for engineering superconducting materials.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Governing Condition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Superconductivity occurs when and only when κ &gt; 0.8 is sustained across the electron network.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coupling coefficient is defined as:</w:t>
      </w:r>
    </w:p>
    <w:p>
      <w:pPr>
        <w:spacing w:before="160" w:after="160"/>
        <w:ind w:left="720"/>
        <w:jc w:val="left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κ = (D·μ) / ((1+λ)(1+Rᴅ)) · A(Rᴅ)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where A(Rᴅ) = 1−Rᴅ² if |Rᴅ| ≤ 0.5, else A(Rᴅ) = 2−(Rᴅ²−11), and: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 = Defense: structural coherence of the electron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μ = Memory: phase fidelity across the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λ = Pulse: dynamical excitation (maps to thermal energy)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Rᴅ = Relational Distance: phase separation between electron frames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complete statement. The critical temperature, material dependence, the unsolved high-temperature problem, and the path to room-temperature superconductivity are all contained in this one expression.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What κ &gt; 0.8 Means Physically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κ &gt; 0.8, JUMP is permitted. Electrons achieve gender complementarity: opposite momenta and opposite spins constitute the M⁺/F⁰ relational configuration. They form a Cooper pair through a discrete JUMP operation, not gradually.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condensate is the network of all pairs sharing a single frame. Frame intersection ℐ = +1 universally. No NEGOTIATE cost. No HANDLE cost.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Zero resistance is not a special property. It is what universal ℐ = +1 looks like physically.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system stops failing.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critical temperature Tᴄ is precisely the temperature — the λ value — at which κ = 0.8 exactly. Solving for the critical excitation:</w:t>
      </w:r>
    </w:p>
    <w:p>
      <w:pPr>
        <w:spacing w:before="160" w:after="160"/>
        <w:ind w:left="720"/>
        <w:jc w:val="left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λᴄ = (D·μ) / (0.8·(1+Rᴅ)·A(Rᴅ)) − 1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  master equation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Critical temperature scales directly with D·μ and inversely with Rᴅ. This is the master equation for superconductivity across all regimes.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Cooling as a Fabric Operation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Cooling is a reduction of λ. That is its primary commitment effect. Everything else follows.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λ ↓ → D ↑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high λ, structural commitments are in constant disruption — bonds vibrate, phases scatter, the network cannot hold coherent configuration. As λ decreases, the network settles. Structural coherence D increases because commitments can maintain their relational configuration without excitation breaking them apart. The structure is not imposed — it emerges as λ recedes.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λ ↓ and D ↑ → κ ↑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movements act on κ simultaneously. The numerator D·μ increases. The denominator (1+λ) approaches 1. κ increases sharply. This is why the phase transition is abrupt, not gradual.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κ crosses 0.8, JUMP becomes permitted. That is the critical temperature.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Perfect Frame Alignment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high λ, frames are in constant relative motion. Phase differences Δθ shift continuously. ℐ fluctuates — some intersections +1, some 0, some −1. The system spends resources on NEGOTIATE and HANDLE continuously. That expenditure is resistance.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 λ → 0, frames stop drifting. Phase differences Δθ freeze. In the Cooper pair condensate, all pairs collapse into a single quantum state — all frames become identical:</w:t>
      </w:r>
    </w:p>
    <w:p>
      <w:pPr>
        <w:spacing w:before="160" w:after="160"/>
        <w:ind w:left="720"/>
        <w:jc w:val="left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cos(θᵢ − θⱼ) = 1 everywhere, because θᵢ = θⱼ everywhere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alignment threshold τ_high = 0.8 is not merely met — it is maximally exceeded. Every operation propagates at full realized value.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Resistance is the cost of imperfect frame alignment.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Superconductivity is what zero cost looks like.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The Three Regimes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Conventional Superconductivity: λ as the Primary Lever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conventional materials — aluminum, mercury, lead — D and μ are modest. The crystal structure provides moderate coherence. The electron network has no special mechanism for reducing Rᴅ directly.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only available lever is λ. Cool the material. λ decreases. The denominator of κ shrinks. Eventually κ crosses 0.8.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phonon mechanism is how the lattice reduces Rᴅ between electron pairs transiently: a passing electron distorts the lattice, creating a local region of higher positive charge density that pulls a second electron into relational proximity. This achieves Rᴅ &lt; e⁻³ between the pair temporarily, permitting JUMP.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But this mechanism is weak. It requires λ to be very low before the transient Rᴅ reduction is sufficient. Hence critical temperatures below 30K.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CM account: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Tᴄ is low because D·μ is modest.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You must reduce λ significantly before κ reaches 0.8.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High-Temperature Superconductivity: D as the Primary Lever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Copper oxide materials superconduct at up to 138K. This is not a quantitative difference from conventional superconductors. It is a different regime of the same equation.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materials have highly specific layered crystal architectures — copper-oxide planes with precise geometry. In CM terms: the material is engineered for high D. Structural coherence is built into the lattice itself. The network of commitments within the copper-oxide planes is strongly bound and phase-coherent.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High D means the numerator of κ is large. λ does not need to drop as far before κ crosses 0.8. Tᴄ rises dramatically.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Additionally, strong electron correlations in these materials reduce effective Rᴅ between electrons — not through phonons but through magnetic fluctuations, charge density waves, or resonating valence bonds. These are different physical mechanisms for achieving the same commitment operation: reducing Rᴅ to enable JUMP.</w:t>
      </w:r>
    </w:p>
    <w:p>
      <w:pPr>
        <w:pBdr>
          <w:left w:val="single" w:color="C55A11" w:sz="18" w:space="4"/>
        </w:pBdr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This is why the mechanism debate in high-Tᴄ is unresolved: physicists are searching for a single phonon-equivalent mediator. But any physical process that reduces Rᴅ below e⁻³ and maintains Gᴄ = 1 mediates Cooper pairing. The specific physical mechanism is substrate-specific. The commitment operation is universal.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real reason high-Tᴄ materials superconduct at higher temperatures is not the mediator. It is that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D·μ is structurally higher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so less λ reduction is required.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Room-Temperature Superconductivity: The Design Principle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Room temperature means ambient λ. The condition becomes:</w:t>
      </w:r>
    </w:p>
    <w:p>
      <w:pPr>
        <w:spacing w:before="160" w:after="160"/>
        <w:ind w:left="720"/>
        <w:jc w:val="left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(D·μ) / (0.8·(1+Rᴅ)·A(Rᴅ)) ≥ 1 + λ_ambient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requires simultaneously: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Maximum D: rigid, precisely ordered lattice, no defects disrupting network coherence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Maximum μ: phase memory maintained across the network without degradation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Minimum Rᴅ: pairing mechanism maintains electrons in very close relational proximity, Rᴅ well below e⁻³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are not three separate material properties. They are three coordinates of the same Fabric. A material designed to maximize D·μ while minimizing Rᴅ between paired electrons will superconduct at room temperature.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This is the design principle that 70 years of parameter-fitting has not produced because it was not looking at the right variables.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Why BCS Cannot Reach This Conclusion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BCS theory identifies the condensate correctly but treats Tᴄ as an output of fitting: phonon coupling strength, electron density, Debye frequency. These are substrate-specific parameters with no structural relationship to each other.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CM account reveals they are all projections of three variables: D, μ, Rᴅ. Different substrates, different projections, same underlying geometry.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BCS cannot predict Tᴄ for a material that does not exist yet. The CM master equation can: specify target D, μ, and Rᴅ, and the equation returns the critical temperature. Material design becomes a geometric problem in Fabric space.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Unified Account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three regimes are the same phenomenon: κ crossing 0.8. All involve the same operation: JUMP to Cooper pair condensate. All produce the same result: universal ℐ = +1, zero HANDLE cost, zero resistance.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Mechanism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Raises Tᴄ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Conventional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λ reduction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λ ↓ until κ &gt; 0.8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High-Temperature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D by architecture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D·μ large, less λ reduction needed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Room Temperature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D·μ, minimum Rᴅ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κ &gt; 0.8 at ambient λ</w:t>
            </w:r>
          </w:p>
        </w:tc>
      </w:tr>
    </w:tbl>
    <w:p>
      <w:pPr>
        <w:spacing w:before="80" w:after="80"/>
      </w:pP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Superconductivity is not a low-temperature phenomenon. It is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κ &gt; 0.8 phenomenon.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Temperature is one path to that condition. It is not the only path.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Key Theorems Applied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Theorem: Violation Degradation (10.7)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Forced operations outside permitted domains cause memory degradation Δμ = −ln 2 · Σₙ[(ΔDₙ)² + (Δλₙ)² + (1−μₙ)²]. In material terms: defects, impurities, and thermal fluctuations that force electrons out of the condensate degrade μ, raising Rᴅ and dropping κ below 0.8. Resistance re-emerges.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Theorem: Triadic Threshold (10.3)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generation of a third entity — here, the Cooper pair as a new relational commitment — Rᴅ &lt; e⁻³ is necessary and sufficient given gender complementarity Gᴄ = 1. The threshold is geometric, not empirical. This is why no phonon mediator of arbitrary strength suffices if Rᴅ is not below e⁻³.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Theorem: MONITOR Necessity (10.5)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Any persistent relational system requires MONITOR or external stabilization. The condensate maintains itself because μ = 1 and D is high — the system has maximum self-observation capacity. As temperature rises and λ increases, μ degrades below μ_critical = 1/(2e) ≈ 0.184, MONITOR fails, and the condensate dissolves.</w:t>
      </w:r>
    </w:p>
    <w:p>
      <w:pPr>
        <w:spacing w:before="80" w:after="80"/>
      </w:pPr>
    </w:p>
    <w:p>
      <w:pPr>
        <w:pBdr>
          <w:bottom w:val="single" w:color="2E5FA3" w:sz="6" w:space="1"/>
        </w:pBdr>
        <w:spacing w:before="160" w:after="160"/>
      </w:pPr>
    </w:p>
    <w:p>
      <w:pPr>
        <w:spacing w:before="160" w:after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Genie Capital Ltd  ·  ottobeseka@geniecapital.co  ·  geniecapital.co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Licensed under CC-BY-NC-SA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Superconductivity: A Commitment Mathematics Account  · 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2026-02-13T12:57:35.592Z</dcterms:created>
  <dcterms:modified xsi:type="dcterms:W3CDTF">2026-02-13T12:57:35.594Z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