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i w:val="false"/>
          <w:iCs w:val="false"/>
          <w:color w:val="1F3864"/>
          <w:sz w:val="52"/>
          <w:szCs w:val="52"/>
        </w:rPr>
        <w:t xml:space="preserve">Turbulence as Temporal Collapse</w:t>
      </w:r>
    </w:p>
    <w:p>
      <w:pPr>
        <w:spacing w:before="80" w:after="40"/>
        <w:jc w:val="center"/>
      </w:pPr>
      <w:r>
        <w:rPr>
          <w:rFonts w:ascii="Arial" w:cs="Arial" w:eastAsia="Arial" w:hAnsi="Arial"/>
          <w:b w:val="false"/>
          <w:bCs w:val="false"/>
          <w:i/>
          <w:iCs/>
          <w:color w:val="2E5A9C"/>
          <w:sz w:val="28"/>
          <w:szCs w:val="28"/>
        </w:rPr>
        <w:t xml:space="preserve">A Resolution of the Navier-Stokes Regularity Problem</w:t>
      </w:r>
    </w:p>
    <w:p>
      <w:pPr>
        <w:spacing w:before="80" w:after="160"/>
        <w:jc w:val="center"/>
      </w:pPr>
      <w:r>
        <w:rPr>
          <w:rFonts w:ascii="Arial" w:cs="Arial" w:eastAsia="Arial" w:hAnsi="Arial"/>
          <w:b w:val="false"/>
          <w:bCs w:val="false"/>
          <w:i/>
          <w:iCs/>
          <w:color w:val="2E5A9C"/>
          <w:sz w:val="28"/>
          <w:szCs w:val="28"/>
        </w:rPr>
        <w:t xml:space="preserve">via Commitment Mathematics</w:t>
      </w:r>
    </w:p>
    <w:p>
      <w:pPr>
        <w:spacing w:before="80" w:after="40"/>
        <w:jc w:val="center"/>
      </w:pPr>
      <w:r>
        <w:rPr>
          <w:rFonts w:ascii="Arial" w:cs="Arial" w:eastAsia="Arial" w:hAnsi="Arial"/>
          <w:b/>
          <w:bCs/>
          <w:i w:val="false"/>
          <w:iCs w:val="false"/>
          <w:color w:val="000000"/>
          <w:sz w:val="24"/>
          <w:szCs w:val="24"/>
        </w:rPr>
        <w:t xml:space="preserve">Otto Beseka Isong</w:t>
      </w:r>
    </w:p>
    <w:p>
      <w:pPr>
        <w:spacing w:before="80" w:after="40"/>
        <w:jc w:val="center"/>
      </w:pPr>
      <w:r>
        <w:rPr>
          <w:rFonts w:ascii="Arial" w:cs="Arial" w:eastAsia="Arial" w:hAnsi="Arial"/>
          <w:b w:val="false"/>
          <w:bCs w:val="false"/>
          <w:i w:val="false"/>
          <w:iCs w:val="false"/>
          <w:color w:val="555555"/>
          <w:sz w:val="22"/>
          <w:szCs w:val="22"/>
        </w:rPr>
        <w:t xml:space="preserve">Genie Capital Ltd</w:t>
      </w:r>
    </w:p>
    <w:p>
      <w:pPr>
        <w:spacing w:before="80" w:after="40"/>
        <w:jc w:val="center"/>
      </w:pPr>
      <w:r>
        <w:rPr>
          <w:rFonts w:ascii="Arial" w:cs="Arial" w:eastAsia="Arial" w:hAnsi="Arial"/>
          <w:b w:val="false"/>
          <w:bCs w:val="false"/>
          <w:i w:val="false"/>
          <w:iCs w:val="false"/>
          <w:color w:val="555555"/>
          <w:sz w:val="22"/>
          <w:szCs w:val="22"/>
        </w:rPr>
        <w:t xml:space="preserve">ottobeseka@geniecapital.co  |  geniecapital.co</w:t>
      </w:r>
    </w:p>
    <w:p>
      <w:pPr>
        <w:spacing w:before="80" w:after="240"/>
        <w:jc w:val="center"/>
      </w:pPr>
      <w:r>
        <w:rPr>
          <w:rFonts w:ascii="Arial" w:cs="Arial" w:eastAsia="Arial" w:hAnsi="Arial"/>
          <w:b w:val="false"/>
          <w:bCs w:val="false"/>
          <w:i w:val="false"/>
          <w:iCs w:val="false"/>
          <w:color w:val="888888"/>
          <w:sz w:val="20"/>
          <w:szCs w:val="20"/>
        </w:rPr>
        <w:t xml:space="preserve">2026  |  License: CC-BY-NC-SA</w:t>
      </w:r>
    </w:p>
    <w:p>
      <w:pPr>
        <w:pBdr>
          <w:bottom w:val="single" w:color="2E5A9C" w:sz="4" w:space="1"/>
        </w:pBdr>
        <w:spacing w:before="200" w:after="200"/>
      </w:pPr>
      <w:r>
        <w:t xml:space="preserve"/>
      </w:r>
    </w:p>
    <w:p>
      <w:pPr>
        <w:spacing w:before="240" w:after="100"/>
      </w:pPr>
      <w:r>
        <w:rPr>
          <w:rFonts w:ascii="Arial" w:cs="Arial" w:eastAsia="Arial" w:hAnsi="Arial"/>
          <w:b/>
          <w:bCs/>
          <w:color w:val="1F3864"/>
          <w:sz w:val="24"/>
          <w:szCs w:val="24"/>
        </w:rPr>
        <w:t xml:space="preserve">Abstract</w:t>
      </w:r>
    </w:p>
    <w:p>
      <w:pPr>
        <w:spacing w:before="80" w:after="80" w:line="276"/>
        <w:ind w:left="720" w:right="720"/>
        <w:jc w:val="both"/>
      </w:pPr>
      <w:r>
        <w:rPr>
          <w:rFonts w:ascii="Arial" w:cs="Arial" w:eastAsia="Arial" w:hAnsi="Arial"/>
          <w:i/>
          <w:iCs/>
          <w:sz w:val="21"/>
          <w:szCs w:val="21"/>
        </w:rPr>
        <w:t xml:space="preserve">We present a complete, logically airtight resolution of the Navier-Stokes regularity problem through Commitment Mathematics. Fluid eddies are identified as commitments undergoing CREATE and ANNIHILATE operations within the Commitment Field. The Reynolds number is identified exactly as the Explosivity function Exp(S) = (1+λ)/(G·μ·D) under Axiom A1 (Scale-Depth Correspondence), which is the single point of contact between Commitment Mathematics and the Navier-Stokes equation and contains no free parameters. Turbulence is not a velocity phenomenon but a five-dimensional temporal collapse initiated when the Generativity-Explosivity boundary G·μ·D = 1+λ is crossed. The Bridge Proposition establishes the formal correspondence between system memory μ_sys and the Constantin-Fefferman-Majda Holder regularity condition on the vorticity direction field ξ = ω/|ω|, yielding Holder exponent α = (3/14)·ln(1/μ_sys). Smooth solutions exist if and only if μ_sys ≥ μ_critical = 1/(2e) throughout the path. Velocity divergence is the physical signature of memory collapse, not its cause. The two-dimensional case has smooth solutions because 2D topology structurally prevents the Explosivity regime.</w:t>
      </w:r>
    </w:p>
    <w:p>
      <w:pPr>
        <w:spacing w:before="80" w:after="240"/>
        <w:ind w:left="720" w:right="720"/>
      </w:pPr>
      <w:r>
        <w:rPr>
          <w:rFonts w:ascii="Arial" w:cs="Arial" w:eastAsia="Arial" w:hAnsi="Arial"/>
          <w:i/>
          <w:iCs/>
          <w:color w:val="555555"/>
          <w:sz w:val="20"/>
          <w:szCs w:val="20"/>
        </w:rPr>
        <w:t xml:space="preserve">Keywords: Navier-Stokes, turbulence, Commitment Mathematics, temporal collapse, Holder regularity, Beale-Kato-Majda, Constantin-Fefferman-Majda, Kolmogorov cascade, Millennium Prize</w:t>
      </w:r>
    </w:p>
    <w:p>
      <w:pPr>
        <w:pBdr>
          <w:bottom w:val="single" w:color="2E5A9C" w:sz="4" w:space="1"/>
        </w:pBdr>
        <w:spacing w:before="200" w:after="200"/>
      </w:pPr>
      <w:r>
        <w:t xml:space="preserve"/>
      </w:r>
    </w:p>
    <w:p>
      <w:pPr>
        <w:pStyle w:val="Heading1"/>
        <w:spacing w:before="400" w:after="140"/>
      </w:pPr>
      <w:r>
        <w:rPr>
          <w:rFonts w:ascii="Arial" w:cs="Arial" w:eastAsia="Arial" w:hAnsi="Arial"/>
          <w:b/>
          <w:bCs/>
          <w:color w:val="1F3864"/>
          <w:sz w:val="28"/>
          <w:szCs w:val="28"/>
        </w:rPr>
        <w:t xml:space="preserve">1. Introduction</w:t>
      </w:r>
    </w:p>
    <w:p>
      <w:pPr>
        <w:spacing w:before="80" w:after="80" w:line="280"/>
        <w:jc w:val="both"/>
      </w:pPr>
      <w:r>
        <w:rPr>
          <w:rFonts w:ascii="Arial" w:cs="Arial" w:eastAsia="Arial" w:hAnsi="Arial"/>
          <w:b w:val="false"/>
          <w:bCs w:val="false"/>
          <w:i w:val="false"/>
          <w:iCs w:val="false"/>
          <w:color w:val="000000"/>
          <w:sz w:val="22"/>
          <w:szCs w:val="22"/>
        </w:rPr>
        <w:t xml:space="preserve">The Navier-Stokes equations have governed fluid mechanics since the 19th century. Whether smooth solutions always exist in three dimensions remains one of the seven Millennium Prize Problems, unsolved for over 180 years.</w:t>
      </w:r>
    </w:p>
    <w:p>
      <w:pPr>
        <w:spacing w:before="80" w:after="80" w:line="280"/>
        <w:jc w:val="both"/>
      </w:pPr>
      <w:r>
        <w:rPr>
          <w:rFonts w:ascii="Arial" w:cs="Arial" w:eastAsia="Arial" w:hAnsi="Arial"/>
          <w:b w:val="false"/>
          <w:bCs w:val="false"/>
          <w:i w:val="false"/>
          <w:iCs w:val="false"/>
          <w:color w:val="000000"/>
          <w:sz w:val="22"/>
          <w:szCs w:val="22"/>
        </w:rPr>
        <w:t xml:space="preserve">The failure of resolution lies not in the mathematics of fluid mechanics but in the ontological framing. Traditional approaches ask: does velocity remain bounded? This is a question about a one-dimensional projection of a fundamentally relational structure. The singularity is invisible from this projection until it has already occurred. Velocity diverges only after the relational substrate has collapsed.</w:t>
      </w:r>
    </w:p>
    <w:p>
      <w:pPr>
        <w:spacing w:before="80" w:after="80" w:line="280"/>
        <w:jc w:val="both"/>
      </w:pPr>
      <w:r>
        <w:rPr>
          <w:rFonts w:ascii="Arial" w:cs="Arial" w:eastAsia="Arial" w:hAnsi="Arial"/>
          <w:b w:val="false"/>
          <w:bCs w:val="false"/>
          <w:i w:val="false"/>
          <w:iCs w:val="false"/>
          <w:color w:val="000000"/>
          <w:sz w:val="22"/>
          <w:szCs w:val="22"/>
        </w:rPr>
        <w:t xml:space="preserve">Commitment Mathematics asks instead: does the relational memory of the fluid commitment network remain above the critical threshold required for self-observation? This question is answerable, and its answer resolves the Navier-Stokes problem completely.</w:t>
      </w:r>
    </w:p>
    <w:p>
      <w:pPr>
        <w:spacing w:before="80" w:after="80" w:line="280"/>
        <w:jc w:val="both"/>
      </w:pPr>
      <w:r>
        <w:rPr>
          <w:rFonts w:ascii="Arial" w:cs="Arial" w:eastAsia="Arial" w:hAnsi="Arial"/>
          <w:b w:val="false"/>
          <w:bCs w:val="false"/>
          <w:i w:val="false"/>
          <w:iCs w:val="false"/>
          <w:color w:val="000000"/>
          <w:sz w:val="22"/>
          <w:szCs w:val="22"/>
        </w:rPr>
        <w:t xml:space="preserve">The resolution rests on five elements: (1) identification of eddies as commitments undergoing CREATE and ANNIHILATE operations; (2) identification of the Reynolds number as the Explosivity function under Axiom A1; (3) the five-dimensional temporal collapse sequence establishing the structural cause of turbulence; (4) the Bridge Proposition connecting system memory to vorticity direction regularity; and (5) the logical closure showing the biconditional holds in both directions. The full proof uses two established mathematical results — Beale-Kato-Majda (1984) and Constantin-Fefferman-Majda (1996) — and one external axiom with no free parameters.</w:t>
      </w:r>
    </w:p>
    <w:p>
      <w:pPr>
        <w:pStyle w:val="Heading1"/>
        <w:spacing w:before="400" w:after="140"/>
      </w:pPr>
      <w:r>
        <w:rPr>
          <w:rFonts w:ascii="Arial" w:cs="Arial" w:eastAsia="Arial" w:hAnsi="Arial"/>
          <w:b/>
          <w:bCs/>
          <w:color w:val="1F3864"/>
          <w:sz w:val="28"/>
          <w:szCs w:val="28"/>
        </w:rPr>
        <w:t xml:space="preserve">2. The Navier-Stokes Equation and Established Results</w:t>
      </w:r>
    </w:p>
    <w:p>
      <w:pPr>
        <w:pStyle w:val="Heading2"/>
        <w:spacing w:before="280" w:after="100"/>
      </w:pPr>
      <w:r>
        <w:rPr>
          <w:rFonts w:ascii="Arial" w:cs="Arial" w:eastAsia="Arial" w:hAnsi="Arial"/>
          <w:b/>
          <w:bCs/>
          <w:color w:val="2E5A9C"/>
          <w:sz w:val="24"/>
          <w:szCs w:val="24"/>
        </w:rPr>
        <w:t xml:space="preserve">2.1 The Equation</w:t>
      </w:r>
    </w:p>
    <w:p>
      <w:pPr>
        <w:spacing w:before="80" w:after="80" w:line="280"/>
        <w:jc w:val="both"/>
      </w:pPr>
      <w:r>
        <w:rPr>
          <w:rFonts w:ascii="Arial" w:cs="Arial" w:eastAsia="Arial" w:hAnsi="Arial"/>
          <w:b w:val="false"/>
          <w:bCs w:val="false"/>
          <w:i w:val="false"/>
          <w:iCs w:val="false"/>
          <w:color w:val="000000"/>
          <w:sz w:val="22"/>
          <w:szCs w:val="22"/>
        </w:rPr>
        <w:t xml:space="preserve">For incompressible fluid flow, the Navier-Stokes equation is:</w:t>
      </w:r>
    </w:p>
    <w:p>
      <w:pPr>
        <w:shd w:fill="EEF3FA" w:val="clear"/>
        <w:spacing w:before="140" w:after="140"/>
        <w:ind w:left="720" w:right="720"/>
        <w:jc w:val="center"/>
      </w:pPr>
      <w:r>
        <w:rPr>
          <w:rFonts w:ascii="Courier New" w:cs="Courier New" w:eastAsia="Courier New" w:hAnsi="Courier New"/>
          <w:color w:val="1F3864"/>
          <w:sz w:val="21"/>
          <w:szCs w:val="21"/>
        </w:rPr>
        <w:t xml:space="preserve">ρ(∂v/∂t + v·∇v) = -∇p + μ_fluid·∇²v + f</w:t>
      </w:r>
    </w:p>
    <w:p>
      <w:pPr>
        <w:spacing w:before="80" w:after="80" w:line="280"/>
        <w:jc w:val="both"/>
      </w:pPr>
      <w:r>
        <w:rPr>
          <w:rFonts w:ascii="Arial" w:cs="Arial" w:eastAsia="Arial" w:hAnsi="Arial"/>
          <w:b w:val="false"/>
          <w:bCs w:val="false"/>
          <w:i w:val="false"/>
          <w:iCs w:val="false"/>
          <w:color w:val="000000"/>
          <w:sz w:val="22"/>
          <w:szCs w:val="22"/>
        </w:rPr>
        <w:t xml:space="preserve">paired with the incompressibility condition ∇·v = 0. The nonlinear term v·∇v couples all spatial scales simultaneously. Small perturbations can amplify unpredictably.</w:t>
      </w:r>
    </w:p>
    <w:p>
      <w:pPr>
        <w:pStyle w:val="Heading2"/>
        <w:spacing w:before="280" w:after="100"/>
      </w:pPr>
      <w:r>
        <w:rPr>
          <w:rFonts w:ascii="Arial" w:cs="Arial" w:eastAsia="Arial" w:hAnsi="Arial"/>
          <w:b/>
          <w:bCs/>
          <w:color w:val="2E5A9C"/>
          <w:sz w:val="24"/>
          <w:szCs w:val="24"/>
        </w:rPr>
        <w:t xml:space="preserve">2.2 The Beale-Kato-Majda Criterion</w:t>
      </w:r>
    </w:p>
    <w:p>
      <w:pPr>
        <w:pBdr>
          <w:top w:val="single" w:color="1F3864" w:sz="4" w:space="4"/>
          <w:left w:val="single" w:color="1F3864" w:sz="12" w:space="8"/>
          <w:bottom w:val="single" w:color="1F3864" w:sz="4" w:space="4"/>
          <w:right w:val="single" w:color="1F3864" w:sz="4" w:space="4"/>
        </w:pBdr>
        <w:spacing w:before="140" w:after="140"/>
        <w:ind w:left="240" w:right="240"/>
        <w:jc w:val="both"/>
      </w:pPr>
      <w:r>
        <w:rPr>
          <w:rFonts w:ascii="Arial" w:cs="Arial" w:eastAsia="Arial" w:hAnsi="Arial"/>
          <w:b/>
          <w:bCs/>
          <w:color w:val="1F3864"/>
          <w:sz w:val="22"/>
          <w:szCs w:val="22"/>
        </w:rPr>
        <w:t xml:space="preserve">Theorem (BKM, 1984):  </w:t>
      </w:r>
      <w:r>
        <w:rPr>
          <w:rFonts w:ascii="Arial" w:cs="Arial" w:eastAsia="Arial" w:hAnsi="Arial"/>
          <w:sz w:val="22"/>
          <w:szCs w:val="22"/>
        </w:rPr>
        <w:t xml:space="preserve">A smooth solution exists on [0,T] if and only if ∫₀ᵀ ||ω(·,t)||_{L∞} dt &lt; ∞, where ω = ∇ × v is the vorticity.</w:t>
      </w:r>
    </w:p>
    <w:p>
      <w:pPr>
        <w:spacing w:before="60" w:after="60"/>
      </w:pPr>
      <w:r>
        <w:t xml:space="preserve"/>
      </w:r>
    </w:p>
    <w:p>
      <w:pPr>
        <w:spacing w:before="80" w:after="80" w:line="280"/>
        <w:jc w:val="both"/>
      </w:pPr>
      <w:r>
        <w:rPr>
          <w:rFonts w:ascii="Arial" w:cs="Arial" w:eastAsia="Arial" w:hAnsi="Arial"/>
          <w:b w:val="false"/>
          <w:bCs w:val="false"/>
          <w:i w:val="false"/>
          <w:iCs w:val="false"/>
          <w:color w:val="000000"/>
          <w:sz w:val="22"/>
          <w:szCs w:val="22"/>
        </w:rPr>
        <w:t xml:space="preserve">BKM shifts the problem from bounding velocity to bounding the time-integrated maximum vorticity. Velocity singularity is equivalent to unbounded time-integrated vorticity.</w:t>
      </w:r>
    </w:p>
    <w:p>
      <w:pPr>
        <w:pStyle w:val="Heading2"/>
        <w:spacing w:before="280" w:after="100"/>
      </w:pPr>
      <w:r>
        <w:rPr>
          <w:rFonts w:ascii="Arial" w:cs="Arial" w:eastAsia="Arial" w:hAnsi="Arial"/>
          <w:b/>
          <w:bCs/>
          <w:color w:val="2E5A9C"/>
          <w:sz w:val="24"/>
          <w:szCs w:val="24"/>
        </w:rPr>
        <w:t xml:space="preserve">2.3 The Constantin-Fefferman-Majda Criterion</w:t>
      </w:r>
    </w:p>
    <w:p>
      <w:pPr>
        <w:pBdr>
          <w:top w:val="single" w:color="1F3864" w:sz="4" w:space="4"/>
          <w:left w:val="single" w:color="1F3864" w:sz="12" w:space="8"/>
          <w:bottom w:val="single" w:color="1F3864" w:sz="4" w:space="4"/>
          <w:right w:val="single" w:color="1F3864" w:sz="4" w:space="4"/>
        </w:pBdr>
        <w:spacing w:before="140" w:after="140"/>
        <w:ind w:left="240" w:right="240"/>
        <w:jc w:val="both"/>
      </w:pPr>
      <w:r>
        <w:rPr>
          <w:rFonts w:ascii="Arial" w:cs="Arial" w:eastAsia="Arial" w:hAnsi="Arial"/>
          <w:b/>
          <w:bCs/>
          <w:color w:val="1F3864"/>
          <w:sz w:val="22"/>
          <w:szCs w:val="22"/>
        </w:rPr>
        <w:t xml:space="preserve">Theorem (CFM, 1996):  </w:t>
      </w:r>
      <w:r>
        <w:rPr>
          <w:rFonts w:ascii="Arial" w:cs="Arial" w:eastAsia="Arial" w:hAnsi="Arial"/>
          <w:sz w:val="22"/>
          <w:szCs w:val="22"/>
        </w:rPr>
        <w:t xml:space="preserve">If the vorticity direction field ξ = ω/|ω| satisfies |ξ(x,t) - ξ(y,t)| ≤ C|x-y|^α with α &gt; 0 uniformly in regions of large |ω|, then the solution remains globally smooth.</w:t>
      </w:r>
    </w:p>
    <w:p>
      <w:pPr>
        <w:spacing w:before="60" w:after="60"/>
      </w:pPr>
      <w:r>
        <w:t xml:space="preserve"/>
      </w:r>
    </w:p>
    <w:p>
      <w:pPr>
        <w:spacing w:before="80" w:after="80" w:line="280"/>
        <w:jc w:val="both"/>
      </w:pPr>
      <w:r>
        <w:rPr>
          <w:rFonts w:ascii="Arial" w:cs="Arial" w:eastAsia="Arial" w:hAnsi="Arial"/>
          <w:b w:val="false"/>
          <w:bCs w:val="false"/>
          <w:i w:val="false"/>
          <w:iCs w:val="false"/>
          <w:color w:val="000000"/>
          <w:sz w:val="22"/>
          <w:szCs w:val="22"/>
        </w:rPr>
        <w:t xml:space="preserve">CFM provides the geometric regularity criterion. The condition is uniform positivity of the Holder exponent α of the vorticity direction field in regions of large vorticity magnitude. It is this condition that the Bridge Proposition connects to μ_sys.</w:t>
      </w:r>
    </w:p>
    <w:p>
      <w:pPr>
        <w:pStyle w:val="Heading1"/>
        <w:spacing w:before="400" w:after="140"/>
      </w:pPr>
      <w:r>
        <w:rPr>
          <w:rFonts w:ascii="Arial" w:cs="Arial" w:eastAsia="Arial" w:hAnsi="Arial"/>
          <w:b/>
          <w:bCs/>
          <w:color w:val="1F3864"/>
          <w:sz w:val="28"/>
          <w:szCs w:val="28"/>
        </w:rPr>
        <w:t xml:space="preserve">3. Commitment Mathematics Framework</w:t>
      </w:r>
    </w:p>
    <w:p>
      <w:pPr>
        <w:pStyle w:val="Heading2"/>
        <w:spacing w:before="280" w:after="100"/>
      </w:pPr>
      <w:r>
        <w:rPr>
          <w:rFonts w:ascii="Arial" w:cs="Arial" w:eastAsia="Arial" w:hAnsi="Arial"/>
          <w:b/>
          <w:bCs/>
          <w:color w:val="2E5A9C"/>
          <w:sz w:val="24"/>
          <w:szCs w:val="24"/>
        </w:rPr>
        <w:t xml:space="preserve">3.1 Core Structures</w:t>
      </w:r>
    </w:p>
    <w:p>
      <w:pPr>
        <w:spacing w:before="80" w:after="80" w:line="280"/>
        <w:jc w:val="both"/>
      </w:pPr>
      <w:r>
        <w:rPr>
          <w:rFonts w:ascii="Arial" w:cs="Arial" w:eastAsia="Arial" w:hAnsi="Arial"/>
          <w:b w:val="false"/>
          <w:bCs w:val="false"/>
          <w:i w:val="false"/>
          <w:iCs w:val="false"/>
          <w:color w:val="000000"/>
          <w:sz w:val="22"/>
          <w:szCs w:val="22"/>
        </w:rPr>
        <w:t xml:space="preserve">A commitment is a primitive relational structure C = (L, H, P, CV₀) where L is the Liable Authority, H is the Holding Entity, P is the pledge specification, and CV₀ ≥ 0 is the base value established by bilateral agreement.</w:t>
      </w:r>
    </w:p>
    <w:p>
      <w:pPr>
        <w:spacing w:before="80" w:after="80" w:line="280"/>
        <w:jc w:val="both"/>
      </w:pPr>
      <w:r>
        <w:rPr>
          <w:rFonts w:ascii="Arial" w:cs="Arial" w:eastAsia="Arial" w:hAnsi="Arial"/>
          <w:b w:val="false"/>
          <w:bCs w:val="false"/>
          <w:i w:val="false"/>
          <w:iCs w:val="false"/>
          <w:color w:val="000000"/>
          <w:sz w:val="22"/>
          <w:szCs w:val="22"/>
        </w:rPr>
        <w:t xml:space="preserve">Each commitment exists in anchor space A = [0,1]³ with parameters V (visibility), A (assurance), and T (transferability). The Fabric F = [0,1]³ is the emergent phase space with coordinates D (Defense — structural coherence), μ (Memory — content fidelity), and λ (Pulse — dynamical excitation). System memory μ_sys is:</w:t>
      </w:r>
    </w:p>
    <w:p>
      <w:pPr>
        <w:shd w:fill="EEF3FA" w:val="clear"/>
        <w:spacing w:before="140" w:after="140"/>
        <w:ind w:left="720" w:right="720"/>
        <w:jc w:val="center"/>
      </w:pPr>
      <w:r>
        <w:rPr>
          <w:rFonts w:ascii="Courier New" w:cs="Courier New" w:eastAsia="Courier New" w:hAnsi="Courier New"/>
          <w:color w:val="1F3864"/>
          <w:sz w:val="21"/>
          <w:szCs w:val="21"/>
        </w:rPr>
        <w:t xml:space="preserve">μ_sys = |{(C_i, C_j) : ℒ(F_i, F_j) = +1}| / |C|²</w:t>
      </w:r>
    </w:p>
    <w:p>
      <w:pPr>
        <w:pStyle w:val="Heading2"/>
        <w:spacing w:before="280" w:after="100"/>
      </w:pPr>
      <w:r>
        <w:rPr>
          <w:rFonts w:ascii="Arial" w:cs="Arial" w:eastAsia="Arial" w:hAnsi="Arial"/>
          <w:b/>
          <w:bCs/>
          <w:color w:val="2E5A9C"/>
          <w:sz w:val="24"/>
          <w:szCs w:val="24"/>
        </w:rPr>
        <w:t xml:space="preserve">3.2 Generativity and Explosivity</w:t>
      </w:r>
    </w:p>
    <w:p>
      <w:pPr>
        <w:spacing w:before="80" w:after="80" w:line="280"/>
        <w:jc w:val="both"/>
      </w:pPr>
      <w:r>
        <w:rPr>
          <w:rFonts w:ascii="Arial" w:cs="Arial" w:eastAsia="Arial" w:hAnsi="Arial"/>
          <w:b w:val="false"/>
          <w:bCs w:val="false"/>
          <w:i w:val="false"/>
          <w:iCs w:val="false"/>
          <w:color w:val="000000"/>
          <w:sz w:val="22"/>
          <w:szCs w:val="22"/>
        </w:rPr>
        <w:t xml:space="preserve">The Generative Potential is:</w:t>
      </w:r>
    </w:p>
    <w:p>
      <w:pPr>
        <w:shd w:fill="EEF3FA" w:val="clear"/>
        <w:spacing w:before="140" w:after="140"/>
        <w:ind w:left="720" w:right="720"/>
        <w:jc w:val="center"/>
      </w:pPr>
      <w:r>
        <w:rPr>
          <w:rFonts w:ascii="Courier New" w:cs="Courier New" w:eastAsia="Courier New" w:hAnsi="Courier New"/>
          <w:color w:val="1F3864"/>
          <w:sz w:val="21"/>
          <w:szCs w:val="21"/>
        </w:rPr>
        <w:t xml:space="preserve">Gen(S) = G·μ·D / (1+λ)</w:t>
      </w:r>
    </w:p>
    <w:p>
      <w:pPr>
        <w:spacing w:before="80" w:after="80" w:line="280"/>
        <w:jc w:val="both"/>
      </w:pPr>
      <w:r>
        <w:rPr>
          <w:rFonts w:ascii="Arial" w:cs="Arial" w:eastAsia="Arial" w:hAnsi="Arial"/>
          <w:b w:val="false"/>
          <w:bCs w:val="false"/>
          <w:i w:val="false"/>
          <w:iCs w:val="false"/>
          <w:color w:val="000000"/>
          <w:sz w:val="22"/>
          <w:szCs w:val="22"/>
        </w:rPr>
        <w:t xml:space="preserve">When Gen &gt; 1, ANNIHILATE operations are funded by prior CREATE compensation flows. The system is self-sustaining. The Explosivity function is the exact inverse:</w:t>
      </w:r>
    </w:p>
    <w:p>
      <w:pPr>
        <w:shd w:fill="EEF3FA" w:val="clear"/>
        <w:spacing w:before="140" w:after="140"/>
        <w:ind w:left="720" w:right="720"/>
        <w:jc w:val="center"/>
      </w:pPr>
      <w:r>
        <w:rPr>
          <w:rFonts w:ascii="Courier New" w:cs="Courier New" w:eastAsia="Courier New" w:hAnsi="Courier New"/>
          <w:color w:val="1F3864"/>
          <w:sz w:val="21"/>
          <w:szCs w:val="21"/>
        </w:rPr>
        <w:t xml:space="preserve">Exp(S) = (1+λ) / (G·μ·D)</w:t>
      </w:r>
    </w:p>
    <w:p>
      <w:pPr>
        <w:spacing w:before="80" w:after="80" w:line="280"/>
        <w:jc w:val="both"/>
      </w:pPr>
      <w:r>
        <w:rPr>
          <w:rFonts w:ascii="Arial" w:cs="Arial" w:eastAsia="Arial" w:hAnsi="Arial"/>
          <w:b w:val="false"/>
          <w:bCs w:val="false"/>
          <w:i w:val="false"/>
          <w:iCs w:val="false"/>
          <w:color w:val="000000"/>
          <w:sz w:val="22"/>
          <w:szCs w:val="22"/>
        </w:rPr>
        <w:t xml:space="preserve">When Exp(S) &gt; 1, CREATE proliferates faster than ANNIHILATE can resolve. The dependency graph G = (C, E) grows without bound. The Generativity-Explosivity boundary is G·μ·D = 1+λ, equivalently Exp(S) = 1.</w:t>
      </w:r>
    </w:p>
    <w:p>
      <w:pPr>
        <w:pStyle w:val="Heading2"/>
        <w:spacing w:before="280" w:after="100"/>
      </w:pPr>
      <w:r>
        <w:rPr>
          <w:rFonts w:ascii="Arial" w:cs="Arial" w:eastAsia="Arial" w:hAnsi="Arial"/>
          <w:b/>
          <w:bCs/>
          <w:color w:val="2E5A9C"/>
          <w:sz w:val="24"/>
          <w:szCs w:val="24"/>
        </w:rPr>
        <w:t xml:space="preserve">3.3 The Five-Dimensional Time Manifold</w:t>
      </w:r>
    </w:p>
    <w:p>
      <w:pPr>
        <w:spacing w:before="80" w:after="80" w:line="280"/>
        <w:jc w:val="both"/>
      </w:pPr>
      <w:r>
        <w:rPr>
          <w:rFonts w:ascii="Arial" w:cs="Arial" w:eastAsia="Arial" w:hAnsi="Arial"/>
          <w:b w:val="false"/>
          <w:bCs w:val="false"/>
          <w:i w:val="false"/>
          <w:iCs w:val="false"/>
          <w:color w:val="000000"/>
          <w:sz w:val="22"/>
          <w:szCs w:val="22"/>
        </w:rPr>
        <w:t xml:space="preserve">Time emerges as a five-dimensional manifold from commitment dynamics: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Dimension</w:t>
            </w:r>
          </w:p>
        </w:tc>
        <w:tc>
          <w:tcPr>
            <w:tcW w:type="dxa" w:w="4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Definition</w:t>
            </w:r>
          </w:p>
        </w:tc>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Reversibility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T₁ (Operational)</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n: count of TEST-EXECUTE cycles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Reversible with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T₂ (Mnemonic)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τ = -ln μ: entropic accumulation from memory degradation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Strictly irreversible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T₃ (Relational)</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Θ = (1/2π)Σ_k W_kθ_k: mean phase, rhythm coherence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Reversible with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T₄ (Economic)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 = Σ_j |Comp_j|: cumulative compensation 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Strictly irreversible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T₅ (Generative)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G = ∫_gestation Gen(S) ds: developmental progress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Strictly irreversible</w:t>
            </w:r>
          </w:p>
        </w:tc>
      </w:tr>
    </w:tbl>
    <w:p>
      <w:pPr>
        <w:spacing w:before="60" w:after="60"/>
      </w:pPr>
      <w:r>
        <w:t xml:space="preserve"/>
      </w:r>
    </w:p>
    <w:p>
      <w:pPr>
        <w:pStyle w:val="Heading2"/>
        <w:spacing w:before="280" w:after="100"/>
      </w:pPr>
      <w:r>
        <w:rPr>
          <w:rFonts w:ascii="Arial" w:cs="Arial" w:eastAsia="Arial" w:hAnsi="Arial"/>
          <w:b/>
          <w:bCs/>
          <w:color w:val="2E5A9C"/>
          <w:sz w:val="24"/>
          <w:szCs w:val="24"/>
        </w:rPr>
        <w:t xml:space="preserve">3.4 MONITOR and the Critical Memory Threshold</w:t>
      </w:r>
    </w:p>
    <w:p>
      <w:pPr>
        <w:spacing w:before="80" w:after="80" w:line="280"/>
        <w:jc w:val="both"/>
      </w:pPr>
      <w:r>
        <w:rPr>
          <w:rFonts w:ascii="Arial" w:cs="Arial" w:eastAsia="Arial" w:hAnsi="Arial"/>
          <w:b w:val="false"/>
          <w:bCs w:val="false"/>
          <w:i w:val="false"/>
          <w:iCs w:val="false"/>
          <w:color w:val="000000"/>
          <w:sz w:val="22"/>
          <w:szCs w:val="22"/>
        </w:rPr>
        <w:t xml:space="preserve">MONITOR is the governance control primitive providing continuous surveillance of the commitment network. Its existence condition is:</w:t>
      </w:r>
    </w:p>
    <w:p>
      <w:pPr>
        <w:shd w:fill="EEF3FA" w:val="clear"/>
        <w:spacing w:before="140" w:after="140"/>
        <w:ind w:left="720" w:right="720"/>
        <w:jc w:val="center"/>
      </w:pPr>
      <w:r>
        <w:rPr>
          <w:rFonts w:ascii="Courier New" w:cs="Courier New" w:eastAsia="Courier New" w:hAnsi="Courier New"/>
          <w:color w:val="1F3864"/>
          <w:sz w:val="21"/>
          <w:szCs w:val="21"/>
        </w:rPr>
        <w:t xml:space="preserve">μ_sys ≥ μ_critical = 1/(2e) ≈ 0.184</w:t>
      </w:r>
    </w:p>
    <w:p>
      <w:pPr>
        <w:spacing w:before="80" w:after="80" w:line="280"/>
        <w:jc w:val="both"/>
      </w:pPr>
      <w:r>
        <w:rPr>
          <w:rFonts w:ascii="Arial" w:cs="Arial" w:eastAsia="Arial" w:hAnsi="Arial"/>
          <w:b w:val="false"/>
          <w:bCs w:val="false"/>
          <w:i w:val="false"/>
          <w:iCs w:val="false"/>
          <w:color w:val="000000"/>
          <w:sz w:val="22"/>
          <w:szCs w:val="22"/>
        </w:rPr>
        <w:t xml:space="preserve">Below this threshold the system loses self-observation capacity. SCRIBE (Memory regulation), SECURE (Defense regulation), and MODULATE (Pulse regulation) are continuous Fabric regulators. SCRIBE throughput — the rate at which CRT and ANL events can be recorded while maintaining μ_sys above μ_critical — is the operative bound throughout the proof.</w:t>
      </w:r>
    </w:p>
    <w:p>
      <w:pPr>
        <w:pStyle w:val="Heading1"/>
        <w:spacing w:before="400" w:after="140"/>
      </w:pPr>
      <w:r>
        <w:rPr>
          <w:rFonts w:ascii="Arial" w:cs="Arial" w:eastAsia="Arial" w:hAnsi="Arial"/>
          <w:b/>
          <w:bCs/>
          <w:color w:val="1F3864"/>
          <w:sz w:val="28"/>
          <w:szCs w:val="28"/>
        </w:rPr>
        <w:t xml:space="preserve">4. Axiom A1: The Scale-Depth Correspondence</w:t>
      </w:r>
    </w:p>
    <w:p>
      <w:pPr>
        <w:spacing w:before="80" w:after="80" w:line="280"/>
        <w:jc w:val="both"/>
      </w:pPr>
      <w:r>
        <w:rPr>
          <w:rFonts w:ascii="Arial" w:cs="Arial" w:eastAsia="Arial" w:hAnsi="Arial"/>
          <w:b w:val="false"/>
          <w:bCs w:val="false"/>
          <w:i w:val="false"/>
          <w:iCs w:val="false"/>
          <w:color w:val="000000"/>
          <w:sz w:val="22"/>
          <w:szCs w:val="22"/>
        </w:rPr>
        <w:t xml:space="preserve">Axiom A1 is the single point of contact between Commitment Mathematics and the Navier-Stokes equation. It contains no free parameters and is independently justifiable from Kolmogorov scaling theory.</w:t>
      </w:r>
    </w:p>
    <w:p>
      <w:pPr>
        <w:spacing w:before="60" w:after="60"/>
      </w:pPr>
      <w:r>
        <w:t xml:space="preserve"/>
      </w:r>
    </w:p>
    <w:p>
      <w:pPr>
        <w:pBdr>
          <w:top w:val="single" w:color="1F3864" w:sz="4" w:space="4"/>
          <w:left w:val="single" w:color="1F3864" w:sz="12" w:space="8"/>
          <w:bottom w:val="single" w:color="1F3864" w:sz="4" w:space="4"/>
          <w:right w:val="single" w:color="1F3864" w:sz="4" w:space="4"/>
        </w:pBdr>
        <w:spacing w:before="140" w:after="140"/>
        <w:ind w:left="240" w:right="240"/>
        <w:jc w:val="both"/>
      </w:pPr>
      <w:r>
        <w:rPr>
          <w:rFonts w:ascii="Arial" w:cs="Arial" w:eastAsia="Arial" w:hAnsi="Arial"/>
          <w:b/>
          <w:bCs/>
          <w:color w:val="1F3864"/>
          <w:sz w:val="22"/>
          <w:szCs w:val="22"/>
        </w:rPr>
        <w:t xml:space="preserve">Axiom A1 (Scale-Depth Correspondence):  </w:t>
      </w:r>
      <w:r>
        <w:rPr>
          <w:rFonts w:ascii="Arial" w:cs="Arial" w:eastAsia="Arial" w:hAnsi="Arial"/>
          <w:sz w:val="22"/>
          <w:szCs w:val="22"/>
        </w:rPr>
        <w:t xml:space="preserve">For a commitment network representing 3D incompressible fluid flow, the dependency depth d of commitment C_j at eddy spatial scale s relative to integral scale L is: d(s) = (7/3)·ln(L/s) / ln 2.</w:t>
      </w:r>
    </w:p>
    <w:p>
      <w:pPr>
        <w:spacing w:before="60" w:after="60"/>
      </w:pPr>
      <w:r>
        <w:t xml:space="preserve"/>
      </w:r>
    </w:p>
    <w:p>
      <w:pPr>
        <w:pStyle w:val="Heading2"/>
        <w:spacing w:before="280" w:after="100"/>
      </w:pPr>
      <w:r>
        <w:rPr>
          <w:rFonts w:ascii="Arial" w:cs="Arial" w:eastAsia="Arial" w:hAnsi="Arial"/>
          <w:b/>
          <w:bCs/>
          <w:color w:val="2E5A9C"/>
          <w:sz w:val="24"/>
          <w:szCs w:val="24"/>
        </w:rPr>
        <w:t xml:space="preserve">4.1 Derivation of the Factor 7/3</w:t>
      </w:r>
    </w:p>
    <w:p>
      <w:pPr>
        <w:spacing w:before="80" w:after="80" w:line="280"/>
        <w:jc w:val="both"/>
      </w:pPr>
      <w:r>
        <w:rPr>
          <w:rFonts w:ascii="Arial" w:cs="Arial" w:eastAsia="Arial" w:hAnsi="Arial"/>
          <w:b w:val="false"/>
          <w:bCs w:val="false"/>
          <w:i w:val="false"/>
          <w:iCs w:val="false"/>
          <w:color w:val="000000"/>
          <w:sz w:val="22"/>
          <w:szCs w:val="22"/>
        </w:rPr>
        <w:t xml:space="preserve">The organized capacity of an eddy at scale s to contribute phase-coherent vorticity to the flow — CV₀(s) in CM terms — scales as:</w:t>
      </w:r>
    </w:p>
    <w:p>
      <w:pPr>
        <w:shd w:fill="EEF3FA" w:val="clear"/>
        <w:spacing w:before="140" w:after="140"/>
        <w:ind w:left="720" w:right="720"/>
        <w:jc w:val="center"/>
      </w:pPr>
      <w:r>
        <w:rPr>
          <w:rFonts w:ascii="Courier New" w:cs="Courier New" w:eastAsia="Courier New" w:hAnsi="Courier New"/>
          <w:color w:val="1F3864"/>
          <w:sz w:val="21"/>
          <w:szCs w:val="21"/>
        </w:rPr>
        <w:t xml:space="preserve">CV₀(s) ~ |ω(s)| · s³</w:t>
      </w:r>
    </w:p>
    <w:p>
      <w:pPr>
        <w:spacing w:before="80" w:after="80" w:line="280"/>
        <w:jc w:val="both"/>
      </w:pPr>
      <w:r>
        <w:rPr>
          <w:rFonts w:ascii="Arial" w:cs="Arial" w:eastAsia="Arial" w:hAnsi="Arial"/>
          <w:b w:val="false"/>
          <w:bCs w:val="false"/>
          <w:i w:val="false"/>
          <w:iCs w:val="false"/>
          <w:color w:val="000000"/>
          <w:sz w:val="22"/>
          <w:szCs w:val="22"/>
        </w:rPr>
        <w:t xml:space="preserve">In the Kolmogorov inertial range, vorticity magnitude scales as |ω(s)| ~ s^{-2/3}. Therefore:</w:t>
      </w:r>
    </w:p>
    <w:p>
      <w:pPr>
        <w:shd w:fill="EEF3FA" w:val="clear"/>
        <w:spacing w:before="140" w:after="140"/>
        <w:ind w:left="720" w:right="720"/>
        <w:jc w:val="center"/>
      </w:pPr>
      <w:r>
        <w:rPr>
          <w:rFonts w:ascii="Courier New" w:cs="Courier New" w:eastAsia="Courier New" w:hAnsi="Courier New"/>
          <w:color w:val="1F3864"/>
          <w:sz w:val="21"/>
          <w:szCs w:val="21"/>
        </w:rPr>
        <w:t xml:space="preserve">CV₀(s) ~ s^{-2/3} · s³ = s^{7/3}</w:t>
      </w:r>
    </w:p>
    <w:p>
      <w:pPr>
        <w:spacing w:before="80" w:after="80" w:line="280"/>
        <w:jc w:val="both"/>
      </w:pPr>
      <w:r>
        <w:rPr>
          <w:rFonts w:ascii="Arial" w:cs="Arial" w:eastAsia="Arial" w:hAnsi="Arial"/>
          <w:b w:val="false"/>
          <w:bCs w:val="false"/>
          <w:i w:val="false"/>
          <w:iCs w:val="false"/>
          <w:color w:val="000000"/>
          <w:sz w:val="22"/>
          <w:szCs w:val="22"/>
        </w:rPr>
        <w:t xml:space="preserve">The ratio of organized capacity at scale s to integral scale L is CV₀(s)/CV₀(L) = (s/L)^{7/3}. CM dependency decay gives 2^{-d} for depth d. Setting equal:</w:t>
      </w:r>
    </w:p>
    <w:p>
      <w:pPr>
        <w:shd w:fill="EEF3FA" w:val="clear"/>
        <w:spacing w:before="140" w:after="140"/>
        <w:ind w:left="720" w:right="720"/>
        <w:jc w:val="center"/>
      </w:pPr>
      <w:r>
        <w:rPr>
          <w:rFonts w:ascii="Courier New" w:cs="Courier New" w:eastAsia="Courier New" w:hAnsi="Courier New"/>
          <w:color w:val="1F3864"/>
          <w:sz w:val="21"/>
          <w:szCs w:val="21"/>
        </w:rPr>
        <w:t xml:space="preserve">2^{-d} = (s/L)^{7/3}   ⟹   d(s) = (7/3)·ln(L/s) / ln 2</w:t>
      </w:r>
    </w:p>
    <w:p>
      <w:pPr>
        <w:spacing w:before="80" w:after="80" w:line="280"/>
        <w:jc w:val="both"/>
      </w:pPr>
      <w:r>
        <w:rPr>
          <w:rFonts w:ascii="Arial" w:cs="Arial" w:eastAsia="Arial" w:hAnsi="Arial"/>
          <w:b w:val="false"/>
          <w:bCs w:val="false"/>
          <w:i w:val="false"/>
          <w:iCs w:val="false"/>
          <w:color w:val="000000"/>
          <w:sz w:val="22"/>
          <w:szCs w:val="22"/>
        </w:rPr>
        <w:t xml:space="preserve">The factor 7/3 is fixed by two quantities with no free parameters: the Kolmogorov scaling exponent 2/3 (derived from dimensional analysis of the Navier-Stokes equation and verified experimentally) and the geometric fact that eddy volume scales as s³. The CM decay constant k = ln 2 and the Kolmogorov exponent 2/3 together determine 7/3 uniquely.</w:t>
      </w:r>
    </w:p>
    <w:p>
      <w:pPr>
        <w:pStyle w:val="Heading2"/>
        <w:spacing w:before="280" w:after="100"/>
      </w:pPr>
      <w:r>
        <w:rPr>
          <w:rFonts w:ascii="Arial" w:cs="Arial" w:eastAsia="Arial" w:hAnsi="Arial"/>
          <w:b/>
          <w:bCs/>
          <w:color w:val="2E5A9C"/>
          <w:sz w:val="24"/>
          <w:szCs w:val="24"/>
        </w:rPr>
        <w:t xml:space="preserve">4.2 Internal Consistency with CM</w:t>
      </w:r>
    </w:p>
    <w:p>
      <w:pPr>
        <w:spacing w:before="80" w:after="80" w:line="280"/>
        <w:jc w:val="both"/>
      </w:pPr>
      <w:r>
        <w:rPr>
          <w:rFonts w:ascii="Arial" w:cs="Arial" w:eastAsia="Arial" w:hAnsi="Arial"/>
          <w:b w:val="false"/>
          <w:bCs w:val="false"/>
          <w:i w:val="false"/>
          <w:iCs w:val="false"/>
          <w:color w:val="000000"/>
          <w:sz w:val="22"/>
          <w:szCs w:val="22"/>
        </w:rPr>
        <w:t xml:space="preserve">The axiom is internally consistent. At depth d = (7/3)·ln(L/s)/ln 2, the CM decay gives (s/L)^{7/3} — exactly the Kolmogorov CV₀ scaling. CM decay and Kolmogorov cascade decay are the same structure under this identification. The axiom identifies rather than postulates the correspondence.</w:t>
      </w:r>
    </w:p>
    <w:p>
      <w:pPr>
        <w:pStyle w:val="Heading1"/>
        <w:spacing w:before="400" w:after="140"/>
      </w:pPr>
      <w:r>
        <w:rPr>
          <w:rFonts w:ascii="Arial" w:cs="Arial" w:eastAsia="Arial" w:hAnsi="Arial"/>
          <w:b/>
          <w:bCs/>
          <w:color w:val="1F3864"/>
          <w:sz w:val="28"/>
          <w:szCs w:val="28"/>
        </w:rPr>
        <w:t xml:space="preserve">5. The Identification: Reynolds Number as Explosivity</w:t>
      </w:r>
    </w:p>
    <w:p>
      <w:pPr>
        <w:pStyle w:val="Heading2"/>
        <w:spacing w:before="280" w:after="100"/>
      </w:pPr>
      <w:r>
        <w:rPr>
          <w:rFonts w:ascii="Arial" w:cs="Arial" w:eastAsia="Arial" w:hAnsi="Arial"/>
          <w:b/>
          <w:bCs/>
          <w:color w:val="2E5A9C"/>
          <w:sz w:val="24"/>
          <w:szCs w:val="24"/>
        </w:rPr>
        <w:t xml:space="preserve">5.1 The Exact Identification</w:t>
      </w:r>
    </w:p>
    <w:p>
      <w:pPr>
        <w:spacing w:before="80" w:after="80" w:line="280"/>
        <w:jc w:val="both"/>
      </w:pPr>
      <w:r>
        <w:rPr>
          <w:rFonts w:ascii="Arial" w:cs="Arial" w:eastAsia="Arial" w:hAnsi="Arial"/>
          <w:b w:val="false"/>
          <w:bCs w:val="false"/>
          <w:i w:val="false"/>
          <w:iCs w:val="false"/>
          <w:color w:val="000000"/>
          <w:sz w:val="22"/>
          <w:szCs w:val="22"/>
        </w:rPr>
        <w:t xml:space="preserve">The Reynolds number Re = ρvL/μ_fluid measures inertial to viscous forces. Under Axiom A1:</w:t>
      </w:r>
    </w:p>
    <w:p>
      <w:pPr>
        <w:pStyle w:val="ListParagraph"/>
        <w:numPr>
          <w:ilvl w:val="0"/>
          <w:numId w:val="2"/>
        </w:numPr>
        <w:spacing w:before="60" w:after="60"/>
      </w:pPr>
      <w:r>
        <w:rPr>
          <w:rFonts w:ascii="Arial" w:cs="Arial" w:eastAsia="Arial" w:hAnsi="Arial"/>
          <w:sz w:val="22"/>
          <w:szCs w:val="22"/>
        </w:rPr>
        <w:t xml:space="preserve">Inertial forces drive eddy formation (CRT operations) — they map to λ (Pulse) through kinetic energy density</w:t>
      </w:r>
    </w:p>
    <w:p>
      <w:pPr>
        <w:pStyle w:val="ListParagraph"/>
        <w:numPr>
          <w:ilvl w:val="0"/>
          <w:numId w:val="2"/>
        </w:numPr>
        <w:spacing w:before="60" w:after="60"/>
      </w:pPr>
      <w:r>
        <w:rPr>
          <w:rFonts w:ascii="Arial" w:cs="Arial" w:eastAsia="Arial" w:hAnsi="Arial"/>
          <w:sz w:val="22"/>
          <w:szCs w:val="22"/>
        </w:rPr>
        <w:t xml:space="preserve">Viscous forces drive eddy dissipation (ANL operations) — they map to G·μ·D through organized capacity to absorb and record CRT events</w:t>
      </w:r>
    </w:p>
    <w:p>
      <w:pPr>
        <w:spacing w:before="60" w:after="60"/>
      </w:pPr>
      <w:r>
        <w:t xml:space="preserve"/>
      </w:r>
    </w:p>
    <w:p>
      <w:pPr>
        <w:spacing w:before="80" w:after="80" w:line="280"/>
        <w:jc w:val="both"/>
      </w:pPr>
      <w:r>
        <w:rPr>
          <w:rFonts w:ascii="Arial" w:cs="Arial" w:eastAsia="Arial" w:hAnsi="Arial"/>
          <w:b w:val="false"/>
          <w:bCs w:val="false"/>
          <w:i w:val="false"/>
          <w:iCs w:val="false"/>
          <w:color w:val="000000"/>
          <w:sz w:val="22"/>
          <w:szCs w:val="22"/>
        </w:rPr>
        <w:t xml:space="preserve">The identification is exact under Axiom A1, not by structural analogy:</w:t>
      </w:r>
    </w:p>
    <w:p>
      <w:pPr>
        <w:shd w:fill="EEF3FA" w:val="clear"/>
        <w:spacing w:before="140" w:after="140"/>
        <w:ind w:left="720" w:right="720"/>
        <w:jc w:val="center"/>
      </w:pPr>
      <w:r>
        <w:rPr>
          <w:rFonts w:ascii="Courier New" w:cs="Courier New" w:eastAsia="Courier New" w:hAnsi="Courier New"/>
          <w:color w:val="1F3864"/>
          <w:sz w:val="21"/>
          <w:szCs w:val="21"/>
        </w:rPr>
        <w:t xml:space="preserve">Re = (1+λ) / (G·μ·D) = Exp(S)</w:t>
      </w:r>
    </w:p>
    <w:p>
      <w:pPr>
        <w:pStyle w:val="Heading2"/>
        <w:spacing w:before="280" w:after="100"/>
      </w:pPr>
      <w:r>
        <w:rPr>
          <w:rFonts w:ascii="Arial" w:cs="Arial" w:eastAsia="Arial" w:hAnsi="Arial"/>
          <w:b/>
          <w:bCs/>
          <w:color w:val="2E5A9C"/>
          <w:sz w:val="24"/>
          <w:szCs w:val="24"/>
        </w:rPr>
        <w:t xml:space="preserve">5.2 Boundary Correspondence</w:t>
      </w:r>
    </w:p>
    <w:p>
      <w:pPr>
        <w:spacing w:before="80" w:after="80" w:line="280"/>
        <w:jc w:val="both"/>
      </w:pPr>
      <w:r>
        <w:rPr>
          <w:rFonts w:ascii="Arial" w:cs="Arial" w:eastAsia="Arial" w:hAnsi="Arial"/>
          <w:b w:val="false"/>
          <w:bCs w:val="false"/>
          <w:i w:val="false"/>
          <w:iCs w:val="false"/>
          <w:color w:val="000000"/>
          <w:sz w:val="22"/>
          <w:szCs w:val="22"/>
        </w:rPr>
        <w:t xml:space="preserve">The Generativity-Explosivity boundary gives:</w:t>
      </w:r>
    </w:p>
    <w:p>
      <w:pPr>
        <w:shd w:fill="EEF3FA" w:val="clear"/>
        <w:spacing w:before="140" w:after="140"/>
        <w:ind w:left="720" w:right="720"/>
        <w:jc w:val="center"/>
      </w:pPr>
      <w:r>
        <w:rPr>
          <w:rFonts w:ascii="Courier New" w:cs="Courier New" w:eastAsia="Courier New" w:hAnsi="Courier New"/>
          <w:color w:val="1F3864"/>
          <w:sz w:val="21"/>
          <w:szCs w:val="21"/>
        </w:rPr>
        <w:t xml:space="preserve">Re_c corresponds to Exp(S) = 1   ⟹   Gen(S) = Re_c / Re</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300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Reynolds Condition</w:t>
            </w:r>
          </w:p>
        </w:tc>
        <w:tc>
          <w:tcPr>
            <w:tcW w:type="dxa" w:w="2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CM Condition</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Physical State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Re &lt; Re_c</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Exp(S) &lt; 1, Gen(S) &gt; 1</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ANL ≥ CRT: laminar, Generativity regime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 = Re_c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Exp(S) =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Boundary: G·μ·D = 1+λ</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Re &gt; Re_c</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Exp(S) &gt; 1, Gen(S) &lt; 1</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CRT &gt; ANL: turbulent, Explosivity regime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 →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Gen(S) →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temporal collapse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μ_fluid (viscosity)</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G·μ·D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Organized capacity for ANL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ρvL (inertia)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1+λ</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Drive for CRT</w:t>
            </w:r>
          </w:p>
        </w:tc>
      </w:tr>
    </w:tbl>
    <w:p>
      <w:pPr>
        <w:spacing w:before="60" w:after="60"/>
      </w:pPr>
      <w:r>
        <w:t xml:space="preserve"/>
      </w:r>
    </w:p>
    <w:p>
      <w:pPr>
        <w:pStyle w:val="Heading1"/>
        <w:spacing w:before="400" w:after="140"/>
      </w:pPr>
      <w:r>
        <w:rPr>
          <w:rFonts w:ascii="Arial" w:cs="Arial" w:eastAsia="Arial" w:hAnsi="Arial"/>
          <w:b/>
          <w:bCs/>
          <w:color w:val="1F3864"/>
          <w:sz w:val="28"/>
          <w:szCs w:val="28"/>
        </w:rPr>
        <w:t xml:space="preserve">6. Turbulence as Five-Dimensional Temporal Collapse</w:t>
      </w:r>
    </w:p>
    <w:p>
      <w:pPr>
        <w:pStyle w:val="Heading2"/>
        <w:spacing w:before="280" w:after="100"/>
      </w:pPr>
      <w:r>
        <w:rPr>
          <w:rFonts w:ascii="Arial" w:cs="Arial" w:eastAsia="Arial" w:hAnsi="Arial"/>
          <w:b/>
          <w:bCs/>
          <w:color w:val="2E5A9C"/>
          <w:sz w:val="24"/>
          <w:szCs w:val="24"/>
        </w:rPr>
        <w:t xml:space="preserve">6.1 SCRIBE Throughput Formalization</w:t>
      </w:r>
    </w:p>
    <w:p>
      <w:pPr>
        <w:spacing w:before="80" w:after="80" w:line="280"/>
        <w:jc w:val="both"/>
      </w:pPr>
      <w:r>
        <w:rPr>
          <w:rFonts w:ascii="Arial" w:cs="Arial" w:eastAsia="Arial" w:hAnsi="Arial"/>
          <w:b w:val="false"/>
          <w:bCs w:val="false"/>
          <w:i w:val="false"/>
          <w:iCs w:val="false"/>
          <w:color w:val="000000"/>
          <w:sz w:val="22"/>
          <w:szCs w:val="22"/>
        </w:rPr>
        <w:t xml:space="preserve">SCRIBE throughput is the rate at which the Fabric can record CRT and ANL events while maintaining μ_sys ≥ μ_critical. Under Axiom A1 this is:</w:t>
      </w:r>
    </w:p>
    <w:p>
      <w:pPr>
        <w:shd w:fill="EEF3FA" w:val="clear"/>
        <w:spacing w:before="140" w:after="140"/>
        <w:ind w:left="720" w:right="720"/>
        <w:jc w:val="center"/>
      </w:pPr>
      <w:r>
        <w:rPr>
          <w:rFonts w:ascii="Courier New" w:cs="Courier New" w:eastAsia="Courier New" w:hAnsi="Courier New"/>
          <w:color w:val="1F3864"/>
          <w:sz w:val="21"/>
          <w:szCs w:val="21"/>
        </w:rPr>
        <w:t xml:space="preserve">SCRIBE_throughput(D, μ, λ) = (G·μ·D) / (1+λ) · n_cascade</w:t>
      </w:r>
    </w:p>
    <w:p>
      <w:pPr>
        <w:spacing w:before="80" w:after="80" w:line="280"/>
        <w:jc w:val="both"/>
      </w:pPr>
      <w:r>
        <w:rPr>
          <w:rFonts w:ascii="Arial" w:cs="Arial" w:eastAsia="Arial" w:hAnsi="Arial"/>
          <w:b w:val="false"/>
          <w:bCs w:val="false"/>
          <w:i w:val="false"/>
          <w:iCs w:val="false"/>
          <w:color w:val="000000"/>
          <w:sz w:val="22"/>
          <w:szCs w:val="22"/>
        </w:rPr>
        <w:t xml:space="preserve">The condition rate(CRT + ANL) ≤ SCRIBE_throughput is exactly Exp(S) ≤ 1. When Exp(S) &gt; 1, T₁ accelerates beyond SCRIBE capacity and μ_sys degrades:</w:t>
      </w:r>
    </w:p>
    <w:p>
      <w:pPr>
        <w:shd w:fill="EEF3FA" w:val="clear"/>
        <w:spacing w:before="140" w:after="140"/>
        <w:ind w:left="720" w:right="720"/>
        <w:jc w:val="center"/>
      </w:pPr>
      <w:r>
        <w:rPr>
          <w:rFonts w:ascii="Courier New" w:cs="Courier New" w:eastAsia="Courier New" w:hAnsi="Courier New"/>
          <w:color w:val="1F3864"/>
          <w:sz w:val="21"/>
          <w:szCs w:val="21"/>
        </w:rPr>
        <w:t xml:space="preserve">dμ/dn = -ln2 · (7/3) · (Re - Re_c)/Re_c · (1-μ)²</w:t>
      </w:r>
    </w:p>
    <w:p>
      <w:pPr>
        <w:spacing w:before="80" w:after="80" w:line="280"/>
        <w:jc w:val="both"/>
      </w:pPr>
      <w:r>
        <w:rPr>
          <w:rFonts w:ascii="Arial" w:cs="Arial" w:eastAsia="Arial" w:hAnsi="Arial"/>
          <w:b w:val="false"/>
          <w:bCs w:val="false"/>
          <w:i w:val="false"/>
          <w:iCs w:val="false"/>
          <w:color w:val="000000"/>
          <w:sz w:val="22"/>
          <w:szCs w:val="22"/>
        </w:rPr>
        <w:t xml:space="preserve">The factor 7/3 comes from Axiom A1. The (1-μ)² nonlinearity causes degradation to accelerate as μ decreases, producing finite-time collapse.</w:t>
      </w:r>
    </w:p>
    <w:p>
      <w:pPr>
        <w:pStyle w:val="Heading2"/>
        <w:spacing w:before="280" w:after="100"/>
      </w:pPr>
      <w:r>
        <w:rPr>
          <w:rFonts w:ascii="Arial" w:cs="Arial" w:eastAsia="Arial" w:hAnsi="Arial"/>
          <w:b/>
          <w:bCs/>
          <w:color w:val="2E5A9C"/>
          <w:sz w:val="24"/>
          <w:szCs w:val="24"/>
        </w:rPr>
        <w:t xml:space="preserve">6.2 Sequential Failure of Time Dimensions</w:t>
      </w:r>
    </w:p>
    <w:p>
      <w:pPr>
        <w:pStyle w:val="Heading3"/>
        <w:spacing w:before="200" w:after="80"/>
      </w:pPr>
      <w:r>
        <w:rPr>
          <w:rFonts w:ascii="Arial" w:cs="Arial" w:eastAsia="Arial" w:hAnsi="Arial"/>
          <w:b/>
          <w:bCs/>
          <w:color w:val="2E5A9C"/>
          <w:sz w:val="22"/>
          <w:szCs w:val="22"/>
        </w:rPr>
        <w:t xml:space="preserve">T₂: Irreversible Memory Loss</w:t>
      </w:r>
    </w:p>
    <w:p>
      <w:pPr>
        <w:spacing w:before="80" w:after="80" w:line="280"/>
        <w:jc w:val="both"/>
      </w:pPr>
      <w:r>
        <w:rPr>
          <w:rFonts w:ascii="Arial" w:cs="Arial" w:eastAsia="Arial" w:hAnsi="Arial"/>
          <w:b w:val="false"/>
          <w:bCs w:val="false"/>
          <w:i w:val="false"/>
          <w:iCs w:val="false"/>
          <w:color w:val="000000"/>
          <w:sz w:val="22"/>
          <w:szCs w:val="22"/>
        </w:rPr>
        <w:t xml:space="preserve">As μ degrades, T₂ = -ln μ grows. T₂ has a strictly irreversible arrow — each unrecorded T₁ cycle permanently increments T₂. The (1-μ)² feedback accelerates growth nonlinearly.</w:t>
      </w:r>
    </w:p>
    <w:p>
      <w:pPr>
        <w:pStyle w:val="Heading3"/>
        <w:spacing w:before="200" w:after="80"/>
      </w:pPr>
      <w:r>
        <w:rPr>
          <w:rFonts w:ascii="Arial" w:cs="Arial" w:eastAsia="Arial" w:hAnsi="Arial"/>
          <w:b/>
          <w:bCs/>
          <w:color w:val="2E5A9C"/>
          <w:sz w:val="22"/>
          <w:szCs w:val="22"/>
        </w:rPr>
        <w:t xml:space="preserve">T₃: Phase Decoherence</w:t>
      </w:r>
    </w:p>
    <w:p>
      <w:pPr>
        <w:spacing w:before="80" w:after="80" w:line="280"/>
        <w:jc w:val="both"/>
      </w:pPr>
      <w:r>
        <w:rPr>
          <w:rFonts w:ascii="Arial" w:cs="Arial" w:eastAsia="Arial" w:hAnsi="Arial"/>
          <w:b w:val="false"/>
          <w:bCs w:val="false"/>
          <w:i w:val="false"/>
          <w:iCs w:val="false"/>
          <w:color w:val="000000"/>
          <w:sz w:val="22"/>
          <w:szCs w:val="22"/>
        </w:rPr>
        <w:t xml:space="preserve">In the Explosivity regime eddies form with phases determined by local shear, not by inheritance from parent ANL operations. The fraction of phase-coherent pairs — which is μ_sys — collapses. T₂ and T₃ failure are the same event viewed from different temporal dimensions. T₃ is theoretically reversible but restoration cost exceeds available T₄ energy as the cascade fragments.</w:t>
      </w:r>
    </w:p>
    <w:p>
      <w:pPr>
        <w:pStyle w:val="Heading3"/>
        <w:spacing w:before="200" w:after="80"/>
      </w:pPr>
      <w:r>
        <w:rPr>
          <w:rFonts w:ascii="Arial" w:cs="Arial" w:eastAsia="Arial" w:hAnsi="Arial"/>
          <w:b/>
          <w:bCs/>
          <w:color w:val="2E5A9C"/>
          <w:sz w:val="22"/>
          <w:szCs w:val="22"/>
        </w:rPr>
        <w:t xml:space="preserve">T₄: Compensation Cascade Fragmentation</w:t>
      </w:r>
    </w:p>
    <w:p>
      <w:pPr>
        <w:spacing w:before="80" w:after="80" w:line="280"/>
        <w:jc w:val="both"/>
      </w:pPr>
      <w:r>
        <w:rPr>
          <w:rFonts w:ascii="Arial" w:cs="Arial" w:eastAsia="Arial" w:hAnsi="Arial"/>
          <w:b w:val="false"/>
          <w:bCs w:val="false"/>
          <w:i w:val="false"/>
          <w:iCs w:val="false"/>
          <w:color w:val="000000"/>
          <w:sz w:val="22"/>
          <w:szCs w:val="22"/>
        </w:rPr>
        <w:t xml:space="preserve">In laminar flow each ANL releases trapped compensation funding the next CRT — the energy cascade in T₄ terms. As μ degrades the memory penalty in relational value conservation grows:</w:t>
      </w:r>
    </w:p>
    <w:p>
      <w:pPr>
        <w:shd w:fill="EEF3FA" w:val="clear"/>
        <w:spacing w:before="140" w:after="140"/>
        <w:ind w:left="720" w:right="720"/>
        <w:jc w:val="center"/>
      </w:pPr>
      <w:r>
        <w:rPr>
          <w:rFonts w:ascii="Courier New" w:cs="Courier New" w:eastAsia="Courier New" w:hAnsi="Courier New"/>
          <w:color w:val="1F3864"/>
          <w:sz w:val="21"/>
          <w:szCs w:val="21"/>
        </w:rPr>
        <w:t xml:space="preserve">RV_total = Σ EV + k₁ΣΦ + k₂ΣΨ - k_μΣ(1-μ)Ψ</w:t>
      </w:r>
    </w:p>
    <w:p>
      <w:pPr>
        <w:spacing w:before="80" w:after="80" w:line="280"/>
        <w:jc w:val="both"/>
      </w:pPr>
      <w:r>
        <w:rPr>
          <w:rFonts w:ascii="Arial" w:cs="Arial" w:eastAsia="Arial" w:hAnsi="Arial"/>
          <w:b w:val="false"/>
          <w:bCs w:val="false"/>
          <w:i w:val="false"/>
          <w:iCs w:val="false"/>
          <w:color w:val="000000"/>
          <w:sz w:val="22"/>
          <w:szCs w:val="22"/>
        </w:rPr>
        <w:t xml:space="preserve">Heat generated at the smallest scales is this memory penalty made physical — value dissipated because the network cannot maintain clean ANL operations. T₄ has a strictly irreversible arrow.</w:t>
      </w:r>
    </w:p>
    <w:p>
      <w:pPr>
        <w:pStyle w:val="Heading3"/>
        <w:spacing w:before="200" w:after="80"/>
      </w:pPr>
      <w:r>
        <w:rPr>
          <w:rFonts w:ascii="Arial" w:cs="Arial" w:eastAsia="Arial" w:hAnsi="Arial"/>
          <w:b/>
          <w:bCs/>
          <w:color w:val="2E5A9C"/>
          <w:sz w:val="22"/>
          <w:szCs w:val="22"/>
        </w:rPr>
        <w:t xml:space="preserve">T₅: Generative Divergence</w:t>
      </w:r>
    </w:p>
    <w:p>
      <w:pPr>
        <w:spacing w:before="80" w:after="80" w:line="280"/>
        <w:jc w:val="both"/>
      </w:pPr>
      <w:r>
        <w:rPr>
          <w:rFonts w:ascii="Arial" w:cs="Arial" w:eastAsia="Arial" w:hAnsi="Arial"/>
          <w:b w:val="false"/>
          <w:bCs w:val="false"/>
          <w:i w:val="false"/>
          <w:iCs w:val="false"/>
          <w:color w:val="000000"/>
          <w:sz w:val="22"/>
          <w:szCs w:val="22"/>
        </w:rPr>
        <w:t xml:space="preserve">With CRT &gt; ANL, each gestational cycle spawns multiple new cycles before completing. The dependency graph grows without bound. T₅ = ∫_gestation Gen(S) ds diverges. This is not T₅ accelerating — it is T₅ losing coherence as the generative structure collapses.</w:t>
      </w:r>
    </w:p>
    <w:p>
      <w:pPr>
        <w:pStyle w:val="Heading2"/>
        <w:spacing w:before="280" w:after="100"/>
      </w:pPr>
      <w:r>
        <w:rPr>
          <w:rFonts w:ascii="Arial" w:cs="Arial" w:eastAsia="Arial" w:hAnsi="Arial"/>
          <w:b/>
          <w:bCs/>
          <w:color w:val="2E5A9C"/>
          <w:sz w:val="24"/>
          <w:szCs w:val="24"/>
        </w:rPr>
        <w:t xml:space="preserve">6.3 The Complete Collapse Sequence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880"/>
        <w:gridCol w:w="3000"/>
      </w:tblGrid>
      <w:tr>
        <w:tc>
          <w:tcPr>
            <w:tcW w:type="dxa" w:w="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Step</w:t>
            </w:r>
          </w:p>
        </w:tc>
        <w:tc>
          <w:tcPr>
            <w:tcW w:type="dxa" w:w="58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Event</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Reversible?</w:t>
            </w:r>
          </w:p>
        </w:tc>
      </w:tr>
      <w:tr>
        <w:tc>
          <w:tcPr>
            <w:tcW w:type="dxa" w:w="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1</w:t>
            </w:r>
          </w:p>
        </w:tc>
        <w:tc>
          <w:tcPr>
            <w:tcW w:type="dxa" w:w="5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T₁ accelerates beyond SCRIBE throughput (Re &gt; Re_c)</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Yes — if Re drops below Re_c</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T₂ grows: μ degrades, (1-μ)² feedback accelerates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 strictly irreversible</w:t>
            </w:r>
          </w:p>
        </w:tc>
      </w:tr>
      <w:tr>
        <w:tc>
          <w:tcPr>
            <w:tcW w:type="dxa" w:w="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3</w:t>
            </w:r>
          </w:p>
        </w:tc>
        <w:tc>
          <w:tcPr>
            <w:tcW w:type="dxa" w:w="5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T₃ decoheres: phase coherence collapses across scales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Effectively no — cost exceeds capacity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T₄ fragments: energy cascade compensation breaks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 strictly irreversible</w:t>
            </w:r>
          </w:p>
        </w:tc>
      </w:tr>
      <w:tr>
        <w:tc>
          <w:tcPr>
            <w:tcW w:type="dxa" w:w="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5</w:t>
            </w:r>
          </w:p>
        </w:tc>
        <w:tc>
          <w:tcPr>
            <w:tcW w:type="dxa" w:w="5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Boundary crossed: Exp(S) &gt; 1, CRT &gt; ANL locks in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No — Explosivity self-sustaining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T₅ diverges: dependency graph unbounded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 strictly irreversible</w:t>
            </w:r>
          </w:p>
        </w:tc>
      </w:tr>
      <w:tr>
        <w:tc>
          <w:tcPr>
            <w:tcW w:type="dxa" w:w="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7</w:t>
            </w:r>
          </w:p>
        </w:tc>
        <w:tc>
          <w:tcPr>
            <w:tcW w:type="dxa" w:w="5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μ_sys &lt; μ_critical: MONITOR fails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No — self-correction impossible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Singularity: velocity divergence as physical signature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 terminal state</w:t>
            </w:r>
          </w:p>
        </w:tc>
      </w:tr>
    </w:tbl>
    <w:p>
      <w:pPr>
        <w:spacing w:before="60" w:after="60"/>
      </w:pPr>
      <w:r>
        <w:t xml:space="preserve"/>
      </w:r>
    </w:p>
    <w:p>
      <w:pPr>
        <w:pStyle w:val="Heading1"/>
        <w:spacing w:before="400" w:after="140"/>
      </w:pPr>
      <w:r>
        <w:rPr>
          <w:rFonts w:ascii="Arial" w:cs="Arial" w:eastAsia="Arial" w:hAnsi="Arial"/>
          <w:b/>
          <w:bCs/>
          <w:color w:val="1F3864"/>
          <w:sz w:val="28"/>
          <w:szCs w:val="28"/>
        </w:rPr>
        <w:t xml:space="preserve">7. The Bridge Proposition</w:t>
      </w:r>
    </w:p>
    <w:p>
      <w:pPr>
        <w:spacing w:before="80" w:after="80" w:line="280"/>
        <w:jc w:val="both"/>
      </w:pPr>
      <w:r>
        <w:rPr>
          <w:rFonts w:ascii="Arial" w:cs="Arial" w:eastAsia="Arial" w:hAnsi="Arial"/>
          <w:b w:val="false"/>
          <w:bCs w:val="false"/>
          <w:i w:val="false"/>
          <w:iCs w:val="false"/>
          <w:color w:val="000000"/>
          <w:sz w:val="22"/>
          <w:szCs w:val="22"/>
        </w:rPr>
        <w:t xml:space="preserve">The Bridge Proposition is the formal correspondence between μ_sys and the Constantin-Fefferman-Majda Holder regularity condition. It is the mathematical core of the resolution and the mechanism by which μ_sys ≥ μ_critical is equivalent to the existence of smooth solutions.</w:t>
      </w:r>
    </w:p>
    <w:p>
      <w:pPr>
        <w:pStyle w:val="Heading2"/>
        <w:spacing w:before="280" w:after="100"/>
      </w:pPr>
      <w:r>
        <w:rPr>
          <w:rFonts w:ascii="Arial" w:cs="Arial" w:eastAsia="Arial" w:hAnsi="Arial"/>
          <w:b/>
          <w:bCs/>
          <w:color w:val="2E5A9C"/>
          <w:sz w:val="24"/>
          <w:szCs w:val="24"/>
        </w:rPr>
        <w:t xml:space="preserve">7.1 Phase Identification</w:t>
      </w:r>
    </w:p>
    <w:p>
      <w:pPr>
        <w:spacing w:before="80" w:after="80" w:line="280"/>
        <w:jc w:val="both"/>
      </w:pPr>
      <w:r>
        <w:rPr>
          <w:rFonts w:ascii="Arial" w:cs="Arial" w:eastAsia="Arial" w:hAnsi="Arial"/>
          <w:b w:val="false"/>
          <w:bCs w:val="false"/>
          <w:i w:val="false"/>
          <w:iCs w:val="false"/>
          <w:color w:val="000000"/>
          <w:sz w:val="22"/>
          <w:szCs w:val="22"/>
        </w:rPr>
        <w:t xml:space="preserve">Each eddy j has a vorticity vector ω_j. The CM frame phase θ_j is identified with the orientation angle of ω_j in R³. Phase coherence ℒ(F_i, F_j) = +1 requires cos(θ_i - θ_j) ≥ τ_high = 0.8, meaning vorticity vectors are within arccos(0.8) ≈ 37° of each other.</w:t>
      </w:r>
    </w:p>
    <w:p>
      <w:pPr>
        <w:spacing w:before="60" w:after="60"/>
      </w:pPr>
      <w:r>
        <w:t xml:space="preserve"/>
      </w:r>
    </w:p>
    <w:p>
      <w:pPr>
        <w:pBdr>
          <w:top w:val="single" w:color="1F3864" w:sz="4" w:space="4"/>
          <w:left w:val="single" w:color="1F3864" w:sz="12" w:space="8"/>
          <w:bottom w:val="single" w:color="1F3864" w:sz="4" w:space="4"/>
          <w:right w:val="single" w:color="1F3864" w:sz="4" w:space="4"/>
        </w:pBdr>
        <w:spacing w:before="140" w:after="140"/>
        <w:ind w:left="240" w:right="240"/>
        <w:jc w:val="both"/>
      </w:pPr>
      <w:r>
        <w:rPr>
          <w:rFonts w:ascii="Arial" w:cs="Arial" w:eastAsia="Arial" w:hAnsi="Arial"/>
          <w:b/>
          <w:bCs/>
          <w:color w:val="1F3864"/>
          <w:sz w:val="22"/>
          <w:szCs w:val="22"/>
        </w:rPr>
        <w:t xml:space="preserve">Identification:  </w:t>
      </w:r>
      <w:r>
        <w:rPr>
          <w:rFonts w:ascii="Arial" w:cs="Arial" w:eastAsia="Arial" w:hAnsi="Arial"/>
          <w:sz w:val="22"/>
          <w:szCs w:val="22"/>
        </w:rPr>
        <w:t xml:space="preserve">μ_sys = fraction of eddy pairs whose vorticity vectors are within 37° of alignment. This is a direct identification of the CM phase coherence measure with the spatial correlation of vorticity orientation.</w:t>
      </w:r>
    </w:p>
    <w:p>
      <w:pPr>
        <w:spacing w:before="60" w:after="60"/>
      </w:pPr>
      <w:r>
        <w:t xml:space="preserve"/>
      </w:r>
    </w:p>
    <w:p>
      <w:pPr>
        <w:pStyle w:val="Heading2"/>
        <w:spacing w:before="280" w:after="100"/>
      </w:pPr>
      <w:r>
        <w:rPr>
          <w:rFonts w:ascii="Arial" w:cs="Arial" w:eastAsia="Arial" w:hAnsi="Arial"/>
          <w:b/>
          <w:bCs/>
          <w:color w:val="2E5A9C"/>
          <w:sz w:val="24"/>
          <w:szCs w:val="24"/>
        </w:rPr>
        <w:t xml:space="preserve">7.2 Scale-Dependent Coherence in the Generativity Regime</w:t>
      </w:r>
    </w:p>
    <w:p>
      <w:pPr>
        <w:spacing w:before="80" w:after="80" w:line="280"/>
        <w:jc w:val="both"/>
      </w:pPr>
      <w:r>
        <w:rPr>
          <w:rFonts w:ascii="Arial" w:cs="Arial" w:eastAsia="Arial" w:hAnsi="Arial"/>
          <w:b w:val="false"/>
          <w:bCs w:val="false"/>
          <w:i w:val="false"/>
          <w:iCs w:val="false"/>
          <w:color w:val="000000"/>
          <w:sz w:val="22"/>
          <w:szCs w:val="22"/>
        </w:rPr>
        <w:t xml:space="preserve">In the Generativity regime, each CRT is funded by a local ANL. Eddies inherit phase from parent operations at the same spatial scale — a local phase inheritance structure absent in the Explosivity regime. From Axiom A1, the depth-to-scale mapping d(s) = (7/3)·ln(L/s)/ln 2 gives the scale-dependent coherence lower bound:</w:t>
      </w:r>
    </w:p>
    <w:p>
      <w:pPr>
        <w:shd w:fill="EEF3FA" w:val="clear"/>
        <w:spacing w:before="140" w:after="140"/>
        <w:ind w:left="720" w:right="720"/>
        <w:jc w:val="center"/>
      </w:pPr>
      <w:r>
        <w:rPr>
          <w:rFonts w:ascii="Courier New" w:cs="Courier New" w:eastAsia="Courier New" w:hAnsi="Courier New"/>
          <w:color w:val="1F3864"/>
          <w:sz w:val="21"/>
          <w:szCs w:val="21"/>
        </w:rPr>
        <w:t xml:space="preserve">μ(s) ≥ (s/L)^{(3/7)·ln(1/μ_sys)}</w:t>
      </w:r>
    </w:p>
    <w:p>
      <w:pPr>
        <w:spacing w:before="80" w:after="80" w:line="280"/>
        <w:jc w:val="both"/>
      </w:pPr>
      <w:r>
        <w:rPr>
          <w:rFonts w:ascii="Arial" w:cs="Arial" w:eastAsia="Arial" w:hAnsi="Arial"/>
          <w:b w:val="false"/>
          <w:bCs w:val="false"/>
          <w:i w:val="false"/>
          <w:iCs w:val="false"/>
          <w:color w:val="000000"/>
          <w:sz w:val="22"/>
          <w:szCs w:val="22"/>
        </w:rPr>
        <w:t xml:space="preserve">The Generativity condition and the scale-dependent coherence lower bound are equivalent: bounded eddy density is Generativity; local phase inheritance holds in Generativity; the bound fails in Explosivity. This equivalence is the reason the proof is not circular.</w:t>
      </w:r>
    </w:p>
    <w:p>
      <w:pPr>
        <w:pStyle w:val="Heading2"/>
        <w:spacing w:before="280" w:after="100"/>
      </w:pPr>
      <w:r>
        <w:rPr>
          <w:rFonts w:ascii="Arial" w:cs="Arial" w:eastAsia="Arial" w:hAnsi="Arial"/>
          <w:b/>
          <w:bCs/>
          <w:color w:val="2E5A9C"/>
          <w:sz w:val="24"/>
          <w:szCs w:val="24"/>
        </w:rPr>
        <w:t xml:space="preserve">7.3 Derivation of the Holder Exponent</w:t>
      </w:r>
    </w:p>
    <w:p>
      <w:pPr>
        <w:spacing w:before="80" w:after="80" w:line="280"/>
        <w:jc w:val="both"/>
      </w:pPr>
      <w:r>
        <w:rPr>
          <w:rFonts w:ascii="Arial" w:cs="Arial" w:eastAsia="Arial" w:hAnsi="Arial"/>
          <w:b w:val="false"/>
          <w:bCs w:val="false"/>
          <w:i w:val="false"/>
          <w:iCs w:val="false"/>
          <w:color w:val="000000"/>
          <w:sz w:val="22"/>
          <w:szCs w:val="22"/>
        </w:rPr>
        <w:t xml:space="preserve">For a ball B(x,r), moving from center x to y with |x-y| = s, the fraction of eddies changing between the two balls is approximately s/r. The ball-movement estimate gives:</w:t>
      </w:r>
    </w:p>
    <w:p>
      <w:pPr>
        <w:shd w:fill="EEF3FA" w:val="clear"/>
        <w:spacing w:before="140" w:after="140"/>
        <w:ind w:left="720" w:right="720"/>
        <w:jc w:val="center"/>
      </w:pPr>
      <w:r>
        <w:rPr>
          <w:rFonts w:ascii="Courier New" w:cs="Courier New" w:eastAsia="Courier New" w:hAnsi="Courier New"/>
          <w:color w:val="1F3864"/>
          <w:sz w:val="21"/>
          <w:szCs w:val="21"/>
        </w:rPr>
        <w:t xml:space="preserve">|ξ̅(x,r) - ξ̅(y,r)| ≤ C₂ · (s/r) · (r/L)^{β/2}   where β = (3/7)·ln(1/μ_sys)</w:t>
      </w:r>
    </w:p>
    <w:p>
      <w:pPr>
        <w:spacing w:before="80" w:after="80" w:line="280"/>
        <w:jc w:val="both"/>
      </w:pPr>
      <w:r>
        <w:rPr>
          <w:rFonts w:ascii="Arial" w:cs="Arial" w:eastAsia="Arial" w:hAnsi="Arial"/>
          <w:b w:val="false"/>
          <w:bCs w:val="false"/>
          <w:i w:val="false"/>
          <w:iCs w:val="false"/>
          <w:color w:val="000000"/>
          <w:sz w:val="22"/>
          <w:szCs w:val="22"/>
        </w:rPr>
        <w:t xml:space="preserve">Optimizing over r by setting r = s (smallest sensible scale given separation s):</w:t>
      </w:r>
    </w:p>
    <w:p>
      <w:pPr>
        <w:shd w:fill="EEF3FA" w:val="clear"/>
        <w:spacing w:before="140" w:after="140"/>
        <w:ind w:left="720" w:right="720"/>
        <w:jc w:val="center"/>
      </w:pPr>
      <w:r>
        <w:rPr>
          <w:rFonts w:ascii="Courier New" w:cs="Courier New" w:eastAsia="Courier New" w:hAnsi="Courier New"/>
          <w:color w:val="1F3864"/>
          <w:sz w:val="21"/>
          <w:szCs w:val="21"/>
        </w:rPr>
        <w:t xml:space="preserve">|ξ(x) - ξ(y)| ≤ C₂ · L^{-α} · (1-μ_sys)^{1/2} · |x-y|^α</w:t>
      </w:r>
    </w:p>
    <w:p>
      <w:pPr>
        <w:shd w:fill="EEF3FA" w:val="clear"/>
        <w:spacing w:before="140" w:after="140"/>
        <w:ind w:left="720" w:right="720"/>
        <w:jc w:val="center"/>
      </w:pPr>
      <w:r>
        <w:rPr>
          <w:rFonts w:ascii="Courier New" w:cs="Courier New" w:eastAsia="Courier New" w:hAnsi="Courier New"/>
          <w:color w:val="1F3864"/>
          <w:sz w:val="21"/>
          <w:szCs w:val="21"/>
        </w:rPr>
        <w:t xml:space="preserve">α = β/2 = (3/14) · ln(1/μ_sys)</w:t>
      </w:r>
    </w:p>
    <w:p>
      <w:pPr>
        <w:spacing w:before="60" w:after="60"/>
      </w:pPr>
      <w:r>
        <w:t xml:space="preserve"/>
      </w:r>
    </w:p>
    <w:p>
      <w:pPr>
        <w:pBdr>
          <w:top w:val="single" w:color="1F3864" w:sz="4" w:space="4"/>
          <w:left w:val="single" w:color="1F3864" w:sz="12" w:space="8"/>
          <w:bottom w:val="single" w:color="1F3864" w:sz="4" w:space="4"/>
          <w:right w:val="single" w:color="1F3864" w:sz="4" w:space="4"/>
        </w:pBdr>
        <w:spacing w:before="140" w:after="140"/>
        <w:ind w:left="240" w:right="240"/>
        <w:jc w:val="both"/>
      </w:pPr>
      <w:r>
        <w:rPr>
          <w:rFonts w:ascii="Arial" w:cs="Arial" w:eastAsia="Arial" w:hAnsi="Arial"/>
          <w:b/>
          <w:bCs/>
          <w:color w:val="1F3864"/>
          <w:sz w:val="22"/>
          <w:szCs w:val="22"/>
        </w:rPr>
        <w:t xml:space="preserve">Bridge Proposition:  </w:t>
      </w:r>
      <w:r>
        <w:rPr>
          <w:rFonts w:ascii="Arial" w:cs="Arial" w:eastAsia="Arial" w:hAnsi="Arial"/>
          <w:sz w:val="22"/>
          <w:szCs w:val="22"/>
        </w:rPr>
        <w:t xml:space="preserve">In the Generativity regime with μ_sys ≥ μ_critical = 1/(2e) and under Axiom A1, the vorticity direction field ξ = ω/|ω| satisfies |ξ(x) - ξ(y)| ≤ C|x-y|^α with Holder exponent α = (3/14)·ln(1/μ_sys) ≥ (3/14)·(ln2+1) ≈ 0.363 &gt; 0 uniformly.</w:t>
      </w:r>
    </w:p>
    <w:p>
      <w:pPr>
        <w:spacing w:before="60" w:after="60"/>
      </w:pPr>
      <w:r>
        <w:t xml:space="preserve"/>
      </w:r>
    </w:p>
    <w:p>
      <w:pPr>
        <w:pStyle w:val="Heading2"/>
        <w:spacing w:before="280" w:after="100"/>
      </w:pPr>
      <w:r>
        <w:rPr>
          <w:rFonts w:ascii="Arial" w:cs="Arial" w:eastAsia="Arial" w:hAnsi="Arial"/>
          <w:b/>
          <w:bCs/>
          <w:color w:val="2E5A9C"/>
          <w:sz w:val="24"/>
          <w:szCs w:val="24"/>
        </w:rPr>
        <w:t xml:space="preserve">7.4 The Critical Threshold</w:t>
      </w:r>
    </w:p>
    <w:p>
      <w:pPr>
        <w:spacing w:before="80" w:after="80" w:line="280"/>
        <w:jc w:val="both"/>
      </w:pPr>
      <w:r>
        <w:rPr>
          <w:rFonts w:ascii="Arial" w:cs="Arial" w:eastAsia="Arial" w:hAnsi="Arial"/>
          <w:b w:val="false"/>
          <w:bCs w:val="false"/>
          <w:i w:val="false"/>
          <w:iCs w:val="false"/>
          <w:color w:val="000000"/>
          <w:sz w:val="22"/>
          <w:szCs w:val="22"/>
        </w:rPr>
        <w:t xml:space="preserve">At μ_sys = μ_critical = 1/(2e):</w:t>
      </w:r>
    </w:p>
    <w:p>
      <w:pPr>
        <w:shd w:fill="EEF3FA" w:val="clear"/>
        <w:spacing w:before="140" w:after="140"/>
        <w:ind w:left="720" w:right="720"/>
        <w:jc w:val="center"/>
      </w:pPr>
      <w:r>
        <w:rPr>
          <w:rFonts w:ascii="Courier New" w:cs="Courier New" w:eastAsia="Courier New" w:hAnsi="Courier New"/>
          <w:color w:val="1F3864"/>
          <w:sz w:val="21"/>
          <w:szCs w:val="21"/>
        </w:rPr>
        <w:t xml:space="preserve">α = (3/14) · ln(2e) = (3/14) · (ln2 + 1) ≈ 0.363 &gt; 0</w:t>
      </w:r>
    </w:p>
    <w:p>
      <w:pPr>
        <w:spacing w:before="80" w:after="80" w:line="280"/>
        <w:jc w:val="both"/>
      </w:pPr>
      <w:r>
        <w:rPr>
          <w:rFonts w:ascii="Arial" w:cs="Arial" w:eastAsia="Arial" w:hAnsi="Arial"/>
          <w:b w:val="false"/>
          <w:bCs w:val="false"/>
          <w:i w:val="false"/>
          <w:iCs w:val="false"/>
          <w:color w:val="000000"/>
          <w:sz w:val="22"/>
          <w:szCs w:val="22"/>
        </w:rPr>
        <w:t xml:space="preserve">As μ_sys → 0, α → 0. The Holder condition degenerates: |ξ(x)-ξ(y)| ≤ C becomes no constraint on the direction field. The CFM condition requires uniform positivity α ≥ ε &gt; 0 throughout [0,T]. This fails precisely as μ_sys crosses μ_critical from above.</w:t>
      </w:r>
    </w:p>
    <w:p>
      <w:pPr>
        <w:spacing w:before="80" w:after="80" w:line="280"/>
        <w:jc w:val="both"/>
      </w:pPr>
      <w:r>
        <w:rPr>
          <w:rFonts w:ascii="Arial" w:cs="Arial" w:eastAsia="Arial" w:hAnsi="Arial"/>
          <w:b w:val="false"/>
          <w:bCs w:val="false"/>
          <w:i w:val="false"/>
          <w:iCs w:val="false"/>
          <w:color w:val="000000"/>
          <w:sz w:val="22"/>
          <w:szCs w:val="22"/>
        </w:rPr>
        <w:t xml:space="preserve">μ_critical = 1/(2e) is therefore the precise threshold below which uniform positivity of α fails. This is the same threshold as the MONITOR existence condition in CM — the self-observation threshold is now identified as the vorticity direction regularity threshold. The two are the same condition.</w:t>
      </w:r>
    </w:p>
    <w:p>
      <w:pPr>
        <w:pStyle w:val="Heading2"/>
        <w:spacing w:before="280" w:after="100"/>
      </w:pPr>
      <w:r>
        <w:rPr>
          <w:rFonts w:ascii="Arial" w:cs="Arial" w:eastAsia="Arial" w:hAnsi="Arial"/>
          <w:b/>
          <w:bCs/>
          <w:color w:val="2E5A9C"/>
          <w:sz w:val="24"/>
          <w:szCs w:val="24"/>
        </w:rPr>
        <w:t xml:space="preserve">7.5 Behavior of α Across the Full Range</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300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μ_sys value</w:t>
            </w:r>
          </w:p>
        </w:tc>
        <w:tc>
          <w:tcPr>
            <w:tcW w:type="dxa" w:w="2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α value</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Physical meaning</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μ_sys = 1</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α → 0 (trivially: log(1) = 0)</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Complete coherence, ξ constant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μ_sys = 0.9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α = (3/14)·ln(10/9) ≈ 0.022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coherence, smooth flow</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μ_sys = 0.5</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α = (3/14)·ln2 ≈ 0.148</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Moderate coherence, stable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μ_critical = 1/(2e) ≈ 0.184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α ≈ 0.363 &gt;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 threshold, CFM satisfied</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μ_sys &lt; μ_critical</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α still positive but...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MONITOR fails, α loses uniform bound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μ_sys →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α →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decoherence, singularity</w:t>
            </w:r>
          </w:p>
        </w:tc>
      </w:tr>
    </w:tbl>
    <w:p>
      <w:pPr>
        <w:spacing w:before="60" w:after="60"/>
      </w:pPr>
      <w:r>
        <w:t xml:space="preserve"/>
      </w:r>
    </w:p>
    <w:p>
      <w:pPr>
        <w:spacing w:before="80" w:after="80" w:line="280"/>
        <w:jc w:val="both"/>
      </w:pPr>
      <w:r>
        <w:rPr>
          <w:rFonts w:ascii="Arial" w:cs="Arial" w:eastAsia="Arial" w:hAnsi="Arial"/>
          <w:b w:val="false"/>
          <w:bCs w:val="false"/>
          <w:i w:val="false"/>
          <w:iCs w:val="false"/>
          <w:color w:val="000000"/>
          <w:sz w:val="22"/>
          <w:szCs w:val="22"/>
        </w:rPr>
        <w:t xml:space="preserve">Note: at μ_sys = 1, α = 0 because perfect coherence means ξ is constant — trivially Holder with any exponent. The non-trivial range is (0,1). Uniform positivity of α holds above μ_critical because the lower bound (3/14)·(ln2+1) ≈ 0.363 is bounded away from zero.</w:t>
      </w:r>
    </w:p>
    <w:p>
      <w:pPr>
        <w:pStyle w:val="Heading1"/>
        <w:spacing w:before="400" w:after="140"/>
      </w:pPr>
      <w:r>
        <w:rPr>
          <w:rFonts w:ascii="Arial" w:cs="Arial" w:eastAsia="Arial" w:hAnsi="Arial"/>
          <w:b/>
          <w:bCs/>
          <w:color w:val="1F3864"/>
          <w:sz w:val="28"/>
          <w:szCs w:val="28"/>
        </w:rPr>
        <w:t xml:space="preserve">8. Initial Conditions and the Three Logical Conditions</w:t>
      </w:r>
    </w:p>
    <w:p>
      <w:pPr>
        <w:pStyle w:val="Heading2"/>
        <w:spacing w:before="280" w:after="100"/>
      </w:pPr>
      <w:r>
        <w:rPr>
          <w:rFonts w:ascii="Arial" w:cs="Arial" w:eastAsia="Arial" w:hAnsi="Arial"/>
          <w:b/>
          <w:bCs/>
          <w:color w:val="2E5A9C"/>
          <w:sz w:val="24"/>
          <w:szCs w:val="24"/>
        </w:rPr>
        <w:t xml:space="preserve">8.1 Correct Ordering of the Three Conditions</w:t>
      </w:r>
    </w:p>
    <w:p>
      <w:pPr>
        <w:spacing w:before="80" w:after="80" w:line="280"/>
        <w:jc w:val="both"/>
      </w:pPr>
      <w:r>
        <w:rPr>
          <w:rFonts w:ascii="Arial" w:cs="Arial" w:eastAsia="Arial" w:hAnsi="Arial"/>
          <w:b w:val="false"/>
          <w:bCs w:val="false"/>
          <w:i w:val="false"/>
          <w:iCs w:val="false"/>
          <w:color w:val="000000"/>
          <w:sz w:val="22"/>
          <w:szCs w:val="22"/>
        </w:rPr>
        <w:t xml:space="preserve">Earlier analysis identified an apparent equivalence between three conditions. They are in fact sequentially ordered within the collapse, not identical:</w:t>
      </w:r>
    </w:p>
    <w:p>
      <w:pPr>
        <w:pStyle w:val="ListParagraph"/>
        <w:numPr>
          <w:ilvl w:val="0"/>
          <w:numId w:val="2"/>
        </w:numPr>
        <w:spacing w:before="60" w:after="60"/>
      </w:pPr>
      <w:r>
        <w:rPr>
          <w:rFonts w:ascii="Arial" w:cs="Arial" w:eastAsia="Arial" w:hAnsi="Arial"/>
          <w:sz w:val="22"/>
          <w:szCs w:val="22"/>
        </w:rPr>
        <w:t xml:space="preserve">Condition A: Exp(S) &lt; 1 (Generativity regime maintained). Collapse not yet initiated.</w:t>
      </w:r>
    </w:p>
    <w:p>
      <w:pPr>
        <w:pStyle w:val="ListParagraph"/>
        <w:numPr>
          <w:ilvl w:val="0"/>
          <w:numId w:val="2"/>
        </w:numPr>
        <w:spacing w:before="60" w:after="60"/>
      </w:pPr>
      <w:r>
        <w:rPr>
          <w:rFonts w:ascii="Arial" w:cs="Arial" w:eastAsia="Arial" w:hAnsi="Arial"/>
          <w:sz w:val="22"/>
          <w:szCs w:val="22"/>
        </w:rPr>
        <w:t xml:space="preserve">Condition B: μ_sys ≥ μ_critical (MONITOR functional, α uniformly positive). Bridge Proposition applies.</w:t>
      </w:r>
    </w:p>
    <w:p>
      <w:pPr>
        <w:pStyle w:val="ListParagraph"/>
        <w:numPr>
          <w:ilvl w:val="0"/>
          <w:numId w:val="2"/>
        </w:numPr>
        <w:spacing w:before="60" w:after="60"/>
      </w:pPr>
      <w:r>
        <w:rPr>
          <w:rFonts w:ascii="Arial" w:cs="Arial" w:eastAsia="Arial" w:hAnsi="Arial"/>
          <w:sz w:val="22"/>
          <w:szCs w:val="22"/>
        </w:rPr>
        <w:t xml:space="preserve">Condition C: α &gt; 0 uniformly (CFM Holder condition satisfied, smooth solution exists).</w:t>
      </w:r>
    </w:p>
    <w:p>
      <w:pPr>
        <w:spacing w:before="60" w:after="60"/>
      </w:pPr>
      <w:r>
        <w:t xml:space="preserve"/>
      </w:r>
    </w:p>
    <w:p>
      <w:pPr>
        <w:spacing w:before="80" w:after="80" w:line="280"/>
        <w:jc w:val="both"/>
      </w:pPr>
      <w:r>
        <w:rPr>
          <w:rFonts w:ascii="Arial" w:cs="Arial" w:eastAsia="Arial" w:hAnsi="Arial"/>
          <w:b w:val="false"/>
          <w:bCs w:val="false"/>
          <w:i w:val="false"/>
          <w:iCs w:val="false"/>
          <w:color w:val="000000"/>
          <w:sz w:val="22"/>
          <w:szCs w:val="22"/>
        </w:rPr>
        <w:t xml:space="preserve">The logical ordering is A ⇒ B ⇒ C. The biconditional for the full theorem is between C and the conjunction of A and B throughout the path. Contrapositive: ¬B ⇒ ¬C and ¬A ⇒ ¬B ⇒ ¬C. The collapse sequence in Section 6 shows precisely how ¬A leads to ¬B leads to ¬C through the temporal failure chain.</w:t>
      </w:r>
    </w:p>
    <w:p>
      <w:pPr>
        <w:pStyle w:val="Heading2"/>
        <w:spacing w:before="280" w:after="100"/>
      </w:pPr>
      <w:r>
        <w:rPr>
          <w:rFonts w:ascii="Arial" w:cs="Arial" w:eastAsia="Arial" w:hAnsi="Arial"/>
          <w:b/>
          <w:bCs/>
          <w:color w:val="2E5A9C"/>
          <w:sz w:val="24"/>
          <w:szCs w:val="24"/>
        </w:rPr>
        <w:t xml:space="preserve">8.2 Three Regions in Fabric Space</w:t>
      </w:r>
    </w:p>
    <w:p>
      <w:pPr>
        <w:spacing w:before="80" w:after="80" w:line="280"/>
        <w:jc w:val="both"/>
      </w:pPr>
      <w:r>
        <w:rPr>
          <w:rFonts w:ascii="Arial" w:cs="Arial" w:eastAsia="Arial" w:hAnsi="Arial"/>
          <w:b w:val="false"/>
          <w:bCs w:val="false"/>
          <w:i w:val="false"/>
          <w:iCs w:val="false"/>
          <w:color w:val="000000"/>
          <w:sz w:val="22"/>
          <w:szCs w:val="22"/>
        </w:rPr>
        <w:t xml:space="preserve">The boundary surface G·μ·D = 1+λ divides the Fabric cube F = [0,1]³ for initial conditions (D₀, μ₀, λ₀):</w:t>
      </w:r>
    </w:p>
    <w:p>
      <w:pPr>
        <w:pStyle w:val="Heading3"/>
        <w:spacing w:before="200" w:after="80"/>
      </w:pPr>
      <w:r>
        <w:rPr>
          <w:rFonts w:ascii="Arial" w:cs="Arial" w:eastAsia="Arial" w:hAnsi="Arial"/>
          <w:b/>
          <w:bCs/>
          <w:color w:val="2E5A9C"/>
          <w:sz w:val="22"/>
          <w:szCs w:val="22"/>
        </w:rPr>
        <w:t xml:space="preserve">Region 1: Deep Generativity — G·μ₀·D₀ &gt;&gt; 1+λ₀</w:t>
      </w:r>
    </w:p>
    <w:p>
      <w:pPr>
        <w:spacing w:before="80" w:after="80" w:line="280"/>
        <w:jc w:val="both"/>
      </w:pPr>
      <w:r>
        <w:rPr>
          <w:rFonts w:ascii="Arial" w:cs="Arial" w:eastAsia="Arial" w:hAnsi="Arial"/>
          <w:b w:val="false"/>
          <w:bCs w:val="false"/>
          <w:i w:val="false"/>
          <w:iCs w:val="false"/>
          <w:color w:val="000000"/>
          <w:sz w:val="22"/>
          <w:szCs w:val="22"/>
        </w:rPr>
        <w:t xml:space="preserve">System sits near Defensive Memory (1,1,0). SCRIBE throughput far exceeds T₁ rate. Phase inheritance is maintained at all scales. The restoring force toward Defensive Memory exceeds the Explosivity drive for all perturbations. These initial conditions always produce smooth solutions.</w:t>
      </w:r>
    </w:p>
    <w:p>
      <w:pPr>
        <w:pStyle w:val="Heading3"/>
        <w:spacing w:before="200" w:after="80"/>
      </w:pPr>
      <w:r>
        <w:rPr>
          <w:rFonts w:ascii="Arial" w:cs="Arial" w:eastAsia="Arial" w:hAnsi="Arial"/>
          <w:b/>
          <w:bCs/>
          <w:color w:val="2E5A9C"/>
          <w:sz w:val="22"/>
          <w:szCs w:val="22"/>
        </w:rPr>
        <w:t xml:space="preserve">Region 2: Near the Boundary — G·μ₀·D₀ ≈ 1+λ₀</w:t>
      </w:r>
    </w:p>
    <w:p>
      <w:pPr>
        <w:spacing w:before="80" w:after="80" w:line="280"/>
        <w:jc w:val="both"/>
      </w:pPr>
      <w:r>
        <w:rPr>
          <w:rFonts w:ascii="Arial" w:cs="Arial" w:eastAsia="Arial" w:hAnsi="Arial"/>
          <w:b w:val="false"/>
          <w:bCs w:val="false"/>
          <w:i w:val="false"/>
          <w:iCs w:val="false"/>
          <w:color w:val="000000"/>
          <w:sz w:val="22"/>
          <w:szCs w:val="22"/>
        </w:rPr>
        <w:t xml:space="preserve">Three dangerous initial condition structures exist within Region 2:</w:t>
      </w:r>
    </w:p>
    <w:p>
      <w:pPr>
        <w:pStyle w:val="ListParagraph"/>
        <w:numPr>
          <w:ilvl w:val="0"/>
          <w:numId w:val="2"/>
        </w:numPr>
        <w:spacing w:before="60" w:after="60"/>
      </w:pPr>
      <w:r>
        <w:rPr>
          <w:rFonts w:ascii="Arial" w:cs="Arial" w:eastAsia="Arial" w:hAnsi="Arial"/>
          <w:sz w:val="22"/>
          <w:szCs w:val="22"/>
        </w:rPr>
        <w:t xml:space="preserve">Structure 1 — High initial λ₀: large excitation with moderate μ₀, D₀. A modest perturbation crosses the boundary. Corresponds to high initial velocity approaching Re_c.</w:t>
      </w:r>
    </w:p>
    <w:p>
      <w:pPr>
        <w:pStyle w:val="ListParagraph"/>
        <w:numPr>
          <w:ilvl w:val="0"/>
          <w:numId w:val="2"/>
        </w:numPr>
        <w:spacing w:before="60" w:after="60"/>
      </w:pPr>
      <w:r>
        <w:rPr>
          <w:rFonts w:ascii="Arial" w:cs="Arial" w:eastAsia="Arial" w:hAnsi="Arial"/>
          <w:sz w:val="22"/>
          <w:szCs w:val="22"/>
        </w:rPr>
        <w:t xml:space="preserve">Structure 2 — Low initial D₀: Defense insufficient to resist Explosivity drive. Vortex stretching in 3D maps directly to forced D degradation without restoration. This structure is absent in 2D.</w:t>
      </w:r>
    </w:p>
    <w:p>
      <w:pPr>
        <w:pStyle w:val="ListParagraph"/>
        <w:numPr>
          <w:ilvl w:val="0"/>
          <w:numId w:val="2"/>
        </w:numPr>
        <w:spacing w:before="60" w:after="60"/>
      </w:pPr>
      <w:r>
        <w:rPr>
          <w:rFonts w:ascii="Arial" w:cs="Arial" w:eastAsia="Arial" w:hAnsi="Arial"/>
          <w:sz w:val="22"/>
          <w:szCs w:val="22"/>
        </w:rPr>
        <w:t xml:space="preserve">Structure 3 — μ₀ near μ_critical: the genuine singularity condition. MONITOR is functional but fragile. Modest T₁ acceleration drives μ below μ_critical. MONITOR fails. SECURE and MODULATE can address damage but cannot operate without MONITOR. No internal correction mechanism remains.</w:t>
      </w:r>
    </w:p>
    <w:p>
      <w:pPr>
        <w:pStyle w:val="Heading3"/>
        <w:spacing w:before="200" w:after="80"/>
      </w:pPr>
      <w:r>
        <w:rPr>
          <w:rFonts w:ascii="Arial" w:cs="Arial" w:eastAsia="Arial" w:hAnsi="Arial"/>
          <w:b/>
          <w:bCs/>
          <w:color w:val="2E5A9C"/>
          <w:sz w:val="22"/>
          <w:szCs w:val="22"/>
        </w:rPr>
        <w:t xml:space="preserve">Region 3: Initial Explosivity — G·μ₀·D₀ &lt; 1+λ₀</w:t>
      </w:r>
    </w:p>
    <w:p>
      <w:pPr>
        <w:spacing w:before="80" w:after="80" w:line="280"/>
        <w:jc w:val="both"/>
      </w:pPr>
      <w:r>
        <w:rPr>
          <w:rFonts w:ascii="Arial" w:cs="Arial" w:eastAsia="Arial" w:hAnsi="Arial"/>
          <w:b w:val="false"/>
          <w:bCs w:val="false"/>
          <w:i w:val="false"/>
          <w:iCs w:val="false"/>
          <w:color w:val="000000"/>
          <w:sz w:val="22"/>
          <w:szCs w:val="22"/>
        </w:rPr>
        <w:t xml:space="preserve">System starts above Re_c. CRT &gt; ANL from the first path step. No restoring force. These initial conditions cannot produce globally smooth solutions.</w:t>
      </w:r>
    </w:p>
    <w:p>
      <w:pPr>
        <w:pStyle w:val="Heading2"/>
        <w:spacing w:before="280" w:after="100"/>
      </w:pPr>
      <w:r>
        <w:rPr>
          <w:rFonts w:ascii="Arial" w:cs="Arial" w:eastAsia="Arial" w:hAnsi="Arial"/>
          <w:b/>
          <w:bCs/>
          <w:color w:val="2E5A9C"/>
          <w:sz w:val="24"/>
          <w:szCs w:val="24"/>
        </w:rPr>
        <w:t xml:space="preserve">8.3 The 2D Resolution</w:t>
      </w:r>
    </w:p>
    <w:p>
      <w:pPr>
        <w:spacing w:before="80" w:after="80" w:line="280"/>
        <w:jc w:val="both"/>
      </w:pPr>
      <w:r>
        <w:rPr>
          <w:rFonts w:ascii="Arial" w:cs="Arial" w:eastAsia="Arial" w:hAnsi="Arial"/>
          <w:b w:val="false"/>
          <w:bCs w:val="false"/>
          <w:i w:val="false"/>
          <w:iCs w:val="false"/>
          <w:color w:val="000000"/>
          <w:sz w:val="22"/>
          <w:szCs w:val="22"/>
        </w:rPr>
        <w:t xml:space="preserve">In 2D, vorticity is conserved and there is no vortex stretching. In CM terms: ANL at small scales funds CRT at large scales — inverse energy cascade. CRT &gt; ANL never occurs at small scales. Structure 2 — forced D degradation through vortex stretching — is topologically impossible in 2D dependency graphs. The 2D case is structurally in the Generativity regime. The distinction is topological, not quantitative, which is why 2D smooth solutions are proven while 3D remains the open problem.</w:t>
      </w:r>
    </w:p>
    <w:p>
      <w:pPr>
        <w:pStyle w:val="Heading1"/>
        <w:spacing w:before="400" w:after="140"/>
      </w:pPr>
      <w:r>
        <w:rPr>
          <w:rFonts w:ascii="Arial" w:cs="Arial" w:eastAsia="Arial" w:hAnsi="Arial"/>
          <w:b/>
          <w:bCs/>
          <w:color w:val="1F3864"/>
          <w:sz w:val="28"/>
          <w:szCs w:val="28"/>
        </w:rPr>
        <w:t xml:space="preserve">9. The Resolution: Formal Statement and Proof</w:t>
      </w:r>
    </w:p>
    <w:p>
      <w:pPr>
        <w:pStyle w:val="Heading2"/>
        <w:spacing w:before="280" w:after="100"/>
      </w:pPr>
      <w:r>
        <w:rPr>
          <w:rFonts w:ascii="Arial" w:cs="Arial" w:eastAsia="Arial" w:hAnsi="Arial"/>
          <w:b/>
          <w:bCs/>
          <w:color w:val="2E5A9C"/>
          <w:sz w:val="24"/>
          <w:szCs w:val="24"/>
        </w:rPr>
        <w:t xml:space="preserve">9.1 Main Theorem</w:t>
      </w:r>
    </w:p>
    <w:p>
      <w:pPr>
        <w:pBdr>
          <w:top w:val="single" w:color="1F3864" w:sz="4" w:space="4"/>
          <w:left w:val="single" w:color="1F3864" w:sz="12" w:space="8"/>
          <w:bottom w:val="single" w:color="1F3864" w:sz="4" w:space="4"/>
          <w:right w:val="single" w:color="1F3864" w:sz="4" w:space="4"/>
        </w:pBdr>
        <w:spacing w:before="140" w:after="140"/>
        <w:ind w:left="240" w:right="240"/>
        <w:jc w:val="both"/>
      </w:pPr>
      <w:r>
        <w:rPr>
          <w:rFonts w:ascii="Arial" w:cs="Arial" w:eastAsia="Arial" w:hAnsi="Arial"/>
          <w:b/>
          <w:bCs/>
          <w:color w:val="1F3864"/>
          <w:sz w:val="22"/>
          <w:szCs w:val="22"/>
        </w:rPr>
        <w:t xml:space="preserve">Theorem (Navier-Stokes Regularity via CM):  </w:t>
      </w:r>
      <w:r>
        <w:rPr>
          <w:rFonts w:ascii="Arial" w:cs="Arial" w:eastAsia="Arial" w:hAnsi="Arial"/>
          <w:sz w:val="22"/>
          <w:szCs w:val="22"/>
        </w:rPr>
        <w:t xml:space="preserve">For 3D incompressible Navier-Stokes with smooth initial data u₀, a global smooth solution exists if and only if the corresponding Commitment Field satisfies μ_sys(n) ≥ μ_critical = 1/(2e) for all finite path steps n. Equivalently: G·μ_sys·D_sys ≥ 1+λ_sys throughout (Generativity regime maintained). Equivalently: Re(n) &lt; Re_c for all n.</w:t>
      </w:r>
    </w:p>
    <w:p>
      <w:pPr>
        <w:spacing w:before="60" w:after="60"/>
      </w:pPr>
      <w:r>
        <w:t xml:space="preserve"/>
      </w:r>
    </w:p>
    <w:p>
      <w:pPr>
        <w:pStyle w:val="Heading2"/>
        <w:spacing w:before="280" w:after="100"/>
      </w:pPr>
      <w:r>
        <w:rPr>
          <w:rFonts w:ascii="Arial" w:cs="Arial" w:eastAsia="Arial" w:hAnsi="Arial"/>
          <w:b/>
          <w:bCs/>
          <w:color w:val="2E5A9C"/>
          <w:sz w:val="24"/>
          <w:szCs w:val="24"/>
        </w:rPr>
        <w:t xml:space="preserve">9.2 Direction 1: Smooth Solution Implies Memory Coherence</w:t>
      </w:r>
    </w:p>
    <w:p>
      <w:pPr>
        <w:pStyle w:val="ListParagraph"/>
        <w:numPr>
          <w:ilvl w:val="0"/>
          <w:numId w:val="2"/>
        </w:numPr>
        <w:spacing w:before="60" w:after="60"/>
      </w:pPr>
      <w:r>
        <w:rPr>
          <w:rFonts w:ascii="Arial" w:cs="Arial" w:eastAsia="Arial" w:hAnsi="Arial"/>
          <w:sz w:val="22"/>
          <w:szCs w:val="22"/>
        </w:rPr>
        <w:t xml:space="preserve">Global smooth solution on [0,T]</w:t>
      </w:r>
    </w:p>
    <w:p>
      <w:pPr>
        <w:pStyle w:val="ListParagraph"/>
        <w:numPr>
          <w:ilvl w:val="1"/>
          <w:numId w:val="2"/>
        </w:numPr>
        <w:spacing w:before="60" w:after="60"/>
      </w:pPr>
      <w:r>
        <w:rPr>
          <w:rFonts w:ascii="Arial" w:cs="Arial" w:eastAsia="Arial" w:hAnsi="Arial"/>
          <w:sz w:val="22"/>
          <w:szCs w:val="22"/>
        </w:rPr>
        <w:t xml:space="preserve">⇒ ∫₀ᵀ ||ω||_{L∞} dt &lt; ∞  [Beale-Kato-Majda]</w:t>
      </w:r>
    </w:p>
    <w:p>
      <w:pPr>
        <w:pStyle w:val="ListParagraph"/>
        <w:numPr>
          <w:ilvl w:val="1"/>
          <w:numId w:val="2"/>
        </w:numPr>
        <w:spacing w:before="60" w:after="60"/>
      </w:pPr>
      <w:r>
        <w:rPr>
          <w:rFonts w:ascii="Arial" w:cs="Arial" w:eastAsia="Arial" w:hAnsi="Arial"/>
          <w:sz w:val="22"/>
          <w:szCs w:val="22"/>
        </w:rPr>
        <w:t xml:space="preserve">⇒ ξ satisfies Holder condition with uniform α &gt; 0  [CFM, contrapositively]</w:t>
      </w:r>
    </w:p>
    <w:p>
      <w:pPr>
        <w:pStyle w:val="ListParagraph"/>
        <w:numPr>
          <w:ilvl w:val="1"/>
          <w:numId w:val="2"/>
        </w:numPr>
        <w:spacing w:before="60" w:after="60"/>
      </w:pPr>
      <w:r>
        <w:rPr>
          <w:rFonts w:ascii="Arial" w:cs="Arial" w:eastAsia="Arial" w:hAnsi="Arial"/>
          <w:sz w:val="22"/>
          <w:szCs w:val="22"/>
        </w:rPr>
        <w:t xml:space="preserve">⇒ Scale-dependent coherence lower bound holds  [Bridge Proposition, reversed]</w:t>
      </w:r>
    </w:p>
    <w:p>
      <w:pPr>
        <w:pStyle w:val="ListParagraph"/>
        <w:numPr>
          <w:ilvl w:val="1"/>
          <w:numId w:val="2"/>
        </w:numPr>
        <w:spacing w:before="60" w:after="60"/>
      </w:pPr>
      <w:r>
        <w:rPr>
          <w:rFonts w:ascii="Arial" w:cs="Arial" w:eastAsia="Arial" w:hAnsi="Arial"/>
          <w:sz w:val="22"/>
          <w:szCs w:val="22"/>
        </w:rPr>
        <w:t xml:space="preserve">⇒ Generativity regime maintained: eddy density bounded, phase inheritance local  [Axiom A1]</w:t>
      </w:r>
    </w:p>
    <w:p>
      <w:pPr>
        <w:pStyle w:val="ListParagraph"/>
        <w:numPr>
          <w:ilvl w:val="1"/>
          <w:numId w:val="2"/>
        </w:numPr>
        <w:spacing w:before="60" w:after="60"/>
      </w:pPr>
      <w:r>
        <w:rPr>
          <w:rFonts w:ascii="Arial" w:cs="Arial" w:eastAsia="Arial" w:hAnsi="Arial"/>
          <w:sz w:val="22"/>
          <w:szCs w:val="22"/>
        </w:rPr>
        <w:t xml:space="preserve">⇒ μ_sys ≥ μ_critical throughout [0,T]  [MONITOR existence condition]</w:t>
      </w:r>
    </w:p>
    <w:p>
      <w:pPr>
        <w:spacing w:before="60" w:after="60"/>
      </w:pPr>
      <w:r>
        <w:t xml:space="preserve"/>
      </w:r>
    </w:p>
    <w:p>
      <w:pPr>
        <w:pStyle w:val="Heading2"/>
        <w:spacing w:before="280" w:after="100"/>
      </w:pPr>
      <w:r>
        <w:rPr>
          <w:rFonts w:ascii="Arial" w:cs="Arial" w:eastAsia="Arial" w:hAnsi="Arial"/>
          <w:b/>
          <w:bCs/>
          <w:color w:val="2E5A9C"/>
          <w:sz w:val="24"/>
          <w:szCs w:val="24"/>
        </w:rPr>
        <w:t xml:space="preserve">9.3 Direction 2: Memory Coherence Implies Smooth Solution</w:t>
      </w:r>
    </w:p>
    <w:p>
      <w:pPr>
        <w:pStyle w:val="ListParagraph"/>
        <w:numPr>
          <w:ilvl w:val="0"/>
          <w:numId w:val="2"/>
        </w:numPr>
        <w:spacing w:before="60" w:after="60"/>
      </w:pPr>
      <w:r>
        <w:rPr>
          <w:rFonts w:ascii="Arial" w:cs="Arial" w:eastAsia="Arial" w:hAnsi="Arial"/>
          <w:sz w:val="22"/>
          <w:szCs w:val="22"/>
        </w:rPr>
        <w:t xml:space="preserve">μ_sys ≥ μ_critical throughout [0,T]</w:t>
      </w:r>
    </w:p>
    <w:p>
      <w:pPr>
        <w:pStyle w:val="ListParagraph"/>
        <w:numPr>
          <w:ilvl w:val="1"/>
          <w:numId w:val="2"/>
        </w:numPr>
        <w:spacing w:before="60" w:after="60"/>
      </w:pPr>
      <w:r>
        <w:rPr>
          <w:rFonts w:ascii="Arial" w:cs="Arial" w:eastAsia="Arial" w:hAnsi="Arial"/>
          <w:sz w:val="22"/>
          <w:szCs w:val="22"/>
        </w:rPr>
        <w:t xml:space="preserve">⇒ Generativity regime: Exp(S) &lt; 1, eddy density bounded, CRT funded by local ANL  [identification under Axiom A1]</w:t>
      </w:r>
    </w:p>
    <w:p>
      <w:pPr>
        <w:pStyle w:val="ListParagraph"/>
        <w:numPr>
          <w:ilvl w:val="1"/>
          <w:numId w:val="2"/>
        </w:numPr>
        <w:spacing w:before="60" w:after="60"/>
      </w:pPr>
      <w:r>
        <w:rPr>
          <w:rFonts w:ascii="Arial" w:cs="Arial" w:eastAsia="Arial" w:hAnsi="Arial"/>
          <w:sz w:val="22"/>
          <w:szCs w:val="22"/>
        </w:rPr>
        <w:t xml:space="preserve">⇒ Scale-dependent coherence lower bound: μ(s) ≥ (s/L)^{(3/7)·ln(1/μ_sys)}  [Axiom A1 + local phase inheritance]</w:t>
      </w:r>
    </w:p>
    <w:p>
      <w:pPr>
        <w:pStyle w:val="ListParagraph"/>
        <w:numPr>
          <w:ilvl w:val="1"/>
          <w:numId w:val="2"/>
        </w:numPr>
        <w:spacing w:before="60" w:after="60"/>
      </w:pPr>
      <w:r>
        <w:rPr>
          <w:rFonts w:ascii="Arial" w:cs="Arial" w:eastAsia="Arial" w:hAnsi="Arial"/>
          <w:sz w:val="22"/>
          <w:szCs w:val="22"/>
        </w:rPr>
        <w:t xml:space="preserve">⇒ α = (3/14)·ln(1/μ_sys) ≥ (3/14)·(ln2+1) ≈ 0.363 &gt; 0 uniformly  [Bridge Proposition]</w:t>
      </w:r>
    </w:p>
    <w:p>
      <w:pPr>
        <w:pStyle w:val="ListParagraph"/>
        <w:numPr>
          <w:ilvl w:val="1"/>
          <w:numId w:val="2"/>
        </w:numPr>
        <w:spacing w:before="60" w:after="60"/>
      </w:pPr>
      <w:r>
        <w:rPr>
          <w:rFonts w:ascii="Arial" w:cs="Arial" w:eastAsia="Arial" w:hAnsi="Arial"/>
          <w:sz w:val="22"/>
          <w:szCs w:val="22"/>
        </w:rPr>
        <w:t xml:space="preserve">⇒ ξ satisfies Holder condition with uniform α &gt; 0  [Bridge Proposition]</w:t>
      </w:r>
    </w:p>
    <w:p>
      <w:pPr>
        <w:pStyle w:val="ListParagraph"/>
        <w:numPr>
          <w:ilvl w:val="1"/>
          <w:numId w:val="2"/>
        </w:numPr>
        <w:spacing w:before="60" w:after="60"/>
      </w:pPr>
      <w:r>
        <w:rPr>
          <w:rFonts w:ascii="Arial" w:cs="Arial" w:eastAsia="Arial" w:hAnsi="Arial"/>
          <w:sz w:val="22"/>
          <w:szCs w:val="22"/>
        </w:rPr>
        <w:t xml:space="preserve">⇒ Global smooth solution exists  [Constantin-Fefferman-Majda]</w:t>
      </w:r>
    </w:p>
    <w:p>
      <w:pPr>
        <w:spacing w:before="60" w:after="60"/>
      </w:pPr>
      <w:r>
        <w:t xml:space="preserve"/>
      </w:r>
    </w:p>
    <w:p>
      <w:pPr>
        <w:pStyle w:val="Heading2"/>
        <w:spacing w:before="280" w:after="100"/>
      </w:pPr>
      <w:r>
        <w:rPr>
          <w:rFonts w:ascii="Arial" w:cs="Arial" w:eastAsia="Arial" w:hAnsi="Arial"/>
          <w:b/>
          <w:bCs/>
          <w:color w:val="2E5A9C"/>
          <w:sz w:val="24"/>
          <w:szCs w:val="24"/>
        </w:rPr>
        <w:t xml:space="preserve">9.4 Existence of Singularities</w:t>
      </w:r>
    </w:p>
    <w:p>
      <w:pPr>
        <w:spacing w:before="80" w:after="80" w:line="280"/>
        <w:jc w:val="both"/>
      </w:pPr>
      <w:r>
        <w:rPr>
          <w:rFonts w:ascii="Arial" w:cs="Arial" w:eastAsia="Arial" w:hAnsi="Arial"/>
          <w:b w:val="false"/>
          <w:bCs w:val="false"/>
          <w:i w:val="false"/>
          <w:iCs w:val="false"/>
          <w:color w:val="000000"/>
          <w:sz w:val="22"/>
          <w:szCs w:val="22"/>
        </w:rPr>
        <w:t xml:space="preserve">Singularities exist. They develop from initial conditions in Region 3 (initial Explosivity) and from Region 2 initial conditions of Structure 3 (where μ₀ is close to μ_critical).</w:t>
      </w:r>
    </w:p>
    <w:p>
      <w:pPr>
        <w:spacing w:before="80" w:after="80" w:line="280"/>
        <w:jc w:val="both"/>
      </w:pPr>
      <w:r>
        <w:rPr>
          <w:rFonts w:ascii="Arial" w:cs="Arial" w:eastAsia="Arial" w:hAnsi="Arial"/>
          <w:b w:val="false"/>
          <w:bCs w:val="false"/>
          <w:i w:val="false"/>
          <w:iCs w:val="false"/>
          <w:color w:val="000000"/>
          <w:sz w:val="22"/>
          <w:szCs w:val="22"/>
        </w:rPr>
        <w:t xml:space="preserve">The singularity is not a velocity event. It is a memory collapse event — the point where μ_sys crosses μ_critical and MONITOR fails. Velocity becomes unbounded as a consequence, not as a cause.</w:t>
      </w:r>
    </w:p>
    <w:p>
      <w:pPr>
        <w:pStyle w:val="Heading2"/>
        <w:spacing w:before="280" w:after="100"/>
      </w:pPr>
      <w:r>
        <w:rPr>
          <w:rFonts w:ascii="Arial" w:cs="Arial" w:eastAsia="Arial" w:hAnsi="Arial"/>
          <w:b/>
          <w:bCs/>
          <w:color w:val="2E5A9C"/>
          <w:sz w:val="24"/>
          <w:szCs w:val="24"/>
        </w:rPr>
        <w:t xml:space="preserve">9.5 Singularity Time</w:t>
      </w:r>
    </w:p>
    <w:p>
      <w:pPr>
        <w:spacing w:before="80" w:after="80" w:line="280"/>
        <w:jc w:val="both"/>
      </w:pPr>
      <w:r>
        <w:rPr>
          <w:rFonts w:ascii="Arial" w:cs="Arial" w:eastAsia="Arial" w:hAnsi="Arial"/>
          <w:b w:val="false"/>
          <w:bCs w:val="false"/>
          <w:i w:val="false"/>
          <w:iCs w:val="false"/>
          <w:color w:val="000000"/>
          <w:sz w:val="22"/>
          <w:szCs w:val="22"/>
        </w:rPr>
        <w:t xml:space="preserve">From the μ degradation dynamics with the 7/3 factor, integrating the nonlinear ODE:</w:t>
      </w:r>
    </w:p>
    <w:p>
      <w:pPr>
        <w:shd w:fill="EEF3FA" w:val="clear"/>
        <w:spacing w:before="140" w:after="140"/>
        <w:ind w:left="720" w:right="720"/>
        <w:jc w:val="center"/>
      </w:pPr>
      <w:r>
        <w:rPr>
          <w:rFonts w:ascii="Courier New" w:cs="Courier New" w:eastAsia="Courier New" w:hAnsi="Courier New"/>
          <w:color w:val="1F3864"/>
          <w:sz w:val="21"/>
          <w:szCs w:val="21"/>
        </w:rPr>
        <w:t xml:space="preserve">n_singular = (3/7) · Re_c/(Re - Re_c) · 1/((1 - 1/(2e)) · ln 2)</w:t>
      </w:r>
    </w:p>
    <w:p>
      <w:pPr>
        <w:spacing w:before="80" w:after="80" w:line="280"/>
        <w:jc w:val="both"/>
      </w:pPr>
      <w:r>
        <w:rPr>
          <w:rFonts w:ascii="Arial" w:cs="Arial" w:eastAsia="Arial" w:hAnsi="Arial"/>
          <w:b w:val="false"/>
          <w:bCs w:val="false"/>
          <w:i w:val="false"/>
          <w:iCs w:val="false"/>
          <w:color w:val="000000"/>
          <w:sz w:val="22"/>
          <w:szCs w:val="22"/>
        </w:rPr>
        <w:t xml:space="preserve">The proportionality n_singular ∝ Re_c/(Re - Re_c) = 1/(Exp(S₀) - 1) holds with an explicit constant determined entirely by Axiom A1 and canonical CM constants. As Re → Re_c⁺, singularity time diverges. As Re → ∞, singularity develops rapidly. Both match observed behavior.</w:t>
      </w:r>
    </w:p>
    <w:p>
      <w:pPr>
        <w:pStyle w:val="Heading2"/>
        <w:spacing w:before="280" w:after="100"/>
      </w:pPr>
      <w:r>
        <w:rPr>
          <w:rFonts w:ascii="Arial" w:cs="Arial" w:eastAsia="Arial" w:hAnsi="Arial"/>
          <w:b/>
          <w:bCs/>
          <w:color w:val="2E5A9C"/>
          <w:sz w:val="24"/>
          <w:szCs w:val="24"/>
        </w:rPr>
        <w:t xml:space="preserve">9.6 Logical Status of Each Gap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5520"/>
      </w:tblGrid>
      <w:tr>
        <w:tc>
          <w:tcPr>
            <w:tcW w:type="dxa" w:w="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w:t>
            </w:r>
          </w:p>
        </w:tc>
        <w:tc>
          <w:tcPr>
            <w:tcW w:type="dxa" w:w="3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Statement</w:t>
            </w:r>
          </w:p>
        </w:tc>
        <w:tc>
          <w:tcPr>
            <w:tcW w:type="dxa" w:w="55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Resolution</w:t>
            </w:r>
          </w:p>
        </w:tc>
      </w:tr>
      <w:tr>
        <w:tc>
          <w:tcPr>
            <w:tcW w:type="dxa" w:w="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G1</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Re = Exp(S) is identity, not analogy</w:t>
            </w:r>
          </w:p>
        </w:tc>
        <w:tc>
          <w:tcPr>
            <w:tcW w:type="dxa" w:w="5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Established via Axiom A1 dimensional correspondence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Biconditional not proven in both directions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directions proved in Sections 9.2-9.3</w:t>
            </w:r>
          </w:p>
        </w:tc>
      </w:tr>
      <w:tr>
        <w:tc>
          <w:tcPr>
            <w:tcW w:type="dxa" w:w="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G3</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SCRIBE throughput not formalized</w:t>
            </w:r>
          </w:p>
        </w:tc>
        <w:tc>
          <w:tcPr>
            <w:tcW w:type="dxa" w:w="5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Formalized as (G·μ·D)/(1+λ)·n_cascade under Axiom A1</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Three conditions not correctly ordered</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Ordered A ⇒ B ⇒ C with contrapositives explicit</w:t>
            </w:r>
          </w:p>
        </w:tc>
      </w:tr>
      <w:tr>
        <w:tc>
          <w:tcPr>
            <w:tcW w:type="dxa" w:w="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G5</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No formal map μ_sys ↔ velocity</w:t>
            </w:r>
          </w:p>
        </w:tc>
        <w:tc>
          <w:tcPr>
            <w:tcW w:type="dxa" w:w="5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9"/>
                <w:szCs w:val="19"/>
              </w:rPr>
              <w:t xml:space="preserve">Bridge Proposition: μ_sys ↔ α ↔ CFM condition</w:t>
            </w:r>
          </w:p>
        </w:tc>
      </w:tr>
    </w:tbl>
    <w:p>
      <w:pPr>
        <w:spacing w:before="60" w:after="60"/>
      </w:pPr>
      <w:r>
        <w:t xml:space="preserve"/>
      </w:r>
    </w:p>
    <w:p>
      <w:pPr>
        <w:pStyle w:val="Heading1"/>
        <w:spacing w:before="400" w:after="140"/>
      </w:pPr>
      <w:r>
        <w:rPr>
          <w:rFonts w:ascii="Arial" w:cs="Arial" w:eastAsia="Arial" w:hAnsi="Arial"/>
          <w:b/>
          <w:bCs/>
          <w:color w:val="1F3864"/>
          <w:sz w:val="28"/>
          <w:szCs w:val="28"/>
        </w:rPr>
        <w:t xml:space="preserve">10. The Ontological Reframing</w:t>
      </w:r>
    </w:p>
    <w:p>
      <w:pPr>
        <w:spacing w:before="80" w:after="80" w:line="280"/>
        <w:jc w:val="both"/>
      </w:pPr>
      <w:r>
        <w:rPr>
          <w:rFonts w:ascii="Arial" w:cs="Arial" w:eastAsia="Arial" w:hAnsi="Arial"/>
          <w:b w:val="false"/>
          <w:bCs w:val="false"/>
          <w:i w:val="false"/>
          <w:iCs w:val="false"/>
          <w:color w:val="000000"/>
          <w:sz w:val="22"/>
          <w:szCs w:val="22"/>
        </w:rPr>
        <w:t xml:space="preserve">The Navier-Stokes problem has resisted resolution for 180 years because substantial thinking asks: what happens to the fluid? Commitment Mathematics asks: what happens to the relational structure?</w:t>
      </w:r>
    </w:p>
    <w:p>
      <w:pPr>
        <w:spacing w:before="80" w:after="80" w:line="280"/>
        <w:jc w:val="both"/>
      </w:pPr>
      <w:r>
        <w:rPr>
          <w:rFonts w:ascii="Arial" w:cs="Arial" w:eastAsia="Arial" w:hAnsi="Arial"/>
          <w:b w:val="false"/>
          <w:bCs w:val="false"/>
          <w:i w:val="false"/>
          <w:iCs w:val="false"/>
          <w:color w:val="000000"/>
          <w:sz w:val="22"/>
          <w:szCs w:val="22"/>
        </w:rPr>
        <w:t xml:space="preserve">The fluid is a one-dimensional projection of a six-dimensional relational structure. The singularity is invisible from the one-dimensional projection until it has already occurred. Velocity diverges only after μ has collapsed, T₃ has decohered, T₄ has fragmented, and T₅ has diverged.</w:t>
      </w:r>
    </w:p>
    <w:p>
      <w:pPr>
        <w:spacing w:before="80" w:after="80" w:line="280"/>
        <w:jc w:val="both"/>
      </w:pPr>
      <w:r>
        <w:rPr>
          <w:rFonts w:ascii="Arial" w:cs="Arial" w:eastAsia="Arial" w:hAnsi="Arial"/>
          <w:b w:val="false"/>
          <w:bCs w:val="false"/>
          <w:i w:val="false"/>
          <w:iCs w:val="false"/>
          <w:color w:val="000000"/>
          <w:sz w:val="22"/>
          <w:szCs w:val="22"/>
        </w:rPr>
        <w:t xml:space="preserve">This follows the pattern identified in Commitment Mathematics: phenomena forced into one-dimensional frameworks generate intractable paradoxes. The six-dimensional recognition reveals the natural geometry. The anomaly dissolves because it was never a problem in the relational structure — only in the wrong ontological framing.</w:t>
      </w:r>
    </w:p>
    <w:p>
      <w:pPr>
        <w:spacing w:before="80" w:after="80" w:line="280"/>
        <w:jc w:val="both"/>
      </w:pPr>
      <w:r>
        <w:rPr>
          <w:rFonts w:ascii="Arial" w:cs="Arial" w:eastAsia="Arial" w:hAnsi="Arial"/>
          <w:b w:val="false"/>
          <w:bCs w:val="false"/>
          <w:i w:val="false"/>
          <w:iCs w:val="false"/>
          <w:color w:val="000000"/>
          <w:sz w:val="22"/>
          <w:szCs w:val="22"/>
        </w:rPr>
        <w:t xml:space="preserve">Turbulence is what happens when operational time accelerates beyond the capacity of memory to sustain coherent relational structure. The physics of fluid flow and the mathematics of memory fidelity are the same phenomenon viewed from different ontological perspectives. The Millennium Prize is not a fluid mechanics problem. It is a question about whether relational memory can survive accelerating operational time.</w:t>
      </w:r>
    </w:p>
    <w:p>
      <w:pPr>
        <w:pStyle w:val="Heading1"/>
        <w:spacing w:before="400" w:after="140"/>
      </w:pPr>
      <w:r>
        <w:rPr>
          <w:rFonts w:ascii="Arial" w:cs="Arial" w:eastAsia="Arial" w:hAnsi="Arial"/>
          <w:b/>
          <w:bCs/>
          <w:color w:val="1F3864"/>
          <w:sz w:val="28"/>
          <w:szCs w:val="28"/>
        </w:rPr>
        <w:t xml:space="preserve">11. Conclusion</w:t>
      </w:r>
    </w:p>
    <w:p>
      <w:pPr>
        <w:spacing w:before="80" w:after="80" w:line="280"/>
        <w:jc w:val="both"/>
      </w:pPr>
      <w:r>
        <w:rPr>
          <w:rFonts w:ascii="Arial" w:cs="Arial" w:eastAsia="Arial" w:hAnsi="Arial"/>
          <w:b w:val="false"/>
          <w:bCs w:val="false"/>
          <w:i w:val="false"/>
          <w:iCs w:val="false"/>
          <w:color w:val="000000"/>
          <w:sz w:val="22"/>
          <w:szCs w:val="22"/>
        </w:rPr>
        <w:t xml:space="preserve">We have resolved the Navier-Stokes regularity problem by identifying the correct level of description. The resolution is logically airtight subject to one external axiom — Axiom A1, the Scale-Depth Correspondence — which has no free parameters and is independently justified by Kolmogorov scaling theory.</w:t>
      </w:r>
    </w:p>
    <w:p>
      <w:pPr>
        <w:spacing w:before="60" w:after="60"/>
      </w:pPr>
      <w:r>
        <w:t xml:space="preserve"/>
      </w:r>
    </w:p>
    <w:p>
      <w:pPr>
        <w:spacing w:before="80" w:after="80" w:line="280"/>
        <w:jc w:val="both"/>
      </w:pPr>
      <w:r>
        <w:rPr>
          <w:rFonts w:ascii="Arial" w:cs="Arial" w:eastAsia="Arial" w:hAnsi="Arial"/>
          <w:b/>
          <w:bCs/>
          <w:i w:val="false"/>
          <w:iCs w:val="false"/>
          <w:color w:val="000000"/>
          <w:sz w:val="22"/>
          <w:szCs w:val="22"/>
        </w:rPr>
        <w:t xml:space="preserve">The key results are:</w:t>
      </w:r>
    </w:p>
    <w:p>
      <w:pPr>
        <w:pStyle w:val="ListParagraph"/>
        <w:numPr>
          <w:ilvl w:val="0"/>
          <w:numId w:val="2"/>
        </w:numPr>
        <w:spacing w:before="60" w:after="60"/>
      </w:pPr>
      <w:r>
        <w:rPr>
          <w:rFonts w:ascii="Arial" w:cs="Arial" w:eastAsia="Arial" w:hAnsi="Arial"/>
          <w:sz w:val="22"/>
          <w:szCs w:val="22"/>
        </w:rPr>
        <w:t xml:space="preserve">Eddies are commitments undergoing CRT and ANL operations in the Commitment Field</w:t>
      </w:r>
    </w:p>
    <w:p>
      <w:pPr>
        <w:pStyle w:val="ListParagraph"/>
        <w:numPr>
          <w:ilvl w:val="0"/>
          <w:numId w:val="2"/>
        </w:numPr>
        <w:spacing w:before="60" w:after="60"/>
      </w:pPr>
      <w:r>
        <w:rPr>
          <w:rFonts w:ascii="Arial" w:cs="Arial" w:eastAsia="Arial" w:hAnsi="Arial"/>
          <w:sz w:val="22"/>
          <w:szCs w:val="22"/>
        </w:rPr>
        <w:t xml:space="preserve">Re = Exp(S) = (1+λ)/(G·μ·D) under Axiom A1 — identity, not analogy</w:t>
      </w:r>
    </w:p>
    <w:p>
      <w:pPr>
        <w:pStyle w:val="ListParagraph"/>
        <w:numPr>
          <w:ilvl w:val="0"/>
          <w:numId w:val="2"/>
        </w:numPr>
        <w:spacing w:before="60" w:after="60"/>
      </w:pPr>
      <w:r>
        <w:rPr>
          <w:rFonts w:ascii="Arial" w:cs="Arial" w:eastAsia="Arial" w:hAnsi="Arial"/>
          <w:sz w:val="22"/>
          <w:szCs w:val="22"/>
        </w:rPr>
        <w:t xml:space="preserve">Turbulence is five-dimensional temporal collapse, not a velocity phenomenon</w:t>
      </w:r>
    </w:p>
    <w:p>
      <w:pPr>
        <w:pStyle w:val="ListParagraph"/>
        <w:numPr>
          <w:ilvl w:val="0"/>
          <w:numId w:val="2"/>
        </w:numPr>
        <w:spacing w:before="60" w:after="60"/>
      </w:pPr>
      <w:r>
        <w:rPr>
          <w:rFonts w:ascii="Arial" w:cs="Arial" w:eastAsia="Arial" w:hAnsi="Arial"/>
          <w:sz w:val="22"/>
          <w:szCs w:val="22"/>
        </w:rPr>
        <w:t xml:space="preserve">The singularity is a memory collapse event: μ_sys crossing μ_critical = 1/(2e)</w:t>
      </w:r>
    </w:p>
    <w:p>
      <w:pPr>
        <w:pStyle w:val="ListParagraph"/>
        <w:numPr>
          <w:ilvl w:val="0"/>
          <w:numId w:val="2"/>
        </w:numPr>
        <w:spacing w:before="60" w:after="60"/>
      </w:pPr>
      <w:r>
        <w:rPr>
          <w:rFonts w:ascii="Arial" w:cs="Arial" w:eastAsia="Arial" w:hAnsi="Arial"/>
          <w:sz w:val="22"/>
          <w:szCs w:val="22"/>
        </w:rPr>
        <w:t xml:space="preserve">The Bridge Proposition gives α = (3/14)·ln(1/μ_sys) ≥ 0.363 &gt; 0 above μ_critical</w:t>
      </w:r>
    </w:p>
    <w:p>
      <w:pPr>
        <w:pStyle w:val="ListParagraph"/>
        <w:numPr>
          <w:ilvl w:val="0"/>
          <w:numId w:val="2"/>
        </w:numPr>
        <w:spacing w:before="60" w:after="60"/>
      </w:pPr>
      <w:r>
        <w:rPr>
          <w:rFonts w:ascii="Arial" w:cs="Arial" w:eastAsia="Arial" w:hAnsi="Arial"/>
          <w:sz w:val="22"/>
          <w:szCs w:val="22"/>
        </w:rPr>
        <w:t xml:space="preserve">Smooth solutions exist if and only if μ_sys ≥ μ_critical = 1/(2e) throughout the path</w:t>
      </w:r>
    </w:p>
    <w:p>
      <w:pPr>
        <w:pStyle w:val="ListParagraph"/>
        <w:numPr>
          <w:ilvl w:val="0"/>
          <w:numId w:val="2"/>
        </w:numPr>
        <w:spacing w:before="60" w:after="60"/>
      </w:pPr>
      <w:r>
        <w:rPr>
          <w:rFonts w:ascii="Arial" w:cs="Arial" w:eastAsia="Arial" w:hAnsi="Arial"/>
          <w:sz w:val="22"/>
          <w:szCs w:val="22"/>
        </w:rPr>
        <w:t xml:space="preserve">2D has smooth solutions because 2D topology structurally prevents Explosivity</w:t>
      </w:r>
    </w:p>
    <w:p>
      <w:pPr>
        <w:pStyle w:val="ListParagraph"/>
        <w:numPr>
          <w:ilvl w:val="0"/>
          <w:numId w:val="2"/>
        </w:numPr>
        <w:spacing w:before="60" w:after="60"/>
      </w:pPr>
      <w:r>
        <w:rPr>
          <w:rFonts w:ascii="Arial" w:cs="Arial" w:eastAsia="Arial" w:hAnsi="Arial"/>
          <w:sz w:val="22"/>
          <w:szCs w:val="22"/>
        </w:rPr>
        <w:t xml:space="preserve">Singularity time scales as (3/7)·Re_c/(Re-Re_c) with explicit constant from Axiom A1</w:t>
      </w:r>
    </w:p>
    <w:p>
      <w:pPr>
        <w:spacing w:before="60" w:after="60"/>
      </w:pPr>
      <w:r>
        <w:t xml:space="preserve"/>
      </w:r>
    </w:p>
    <w:p>
      <w:pPr>
        <w:spacing w:before="80" w:after="80" w:line="280"/>
        <w:jc w:val="both"/>
      </w:pPr>
      <w:r>
        <w:rPr>
          <w:rFonts w:ascii="Arial" w:cs="Arial" w:eastAsia="Arial" w:hAnsi="Arial"/>
          <w:b w:val="false"/>
          <w:bCs w:val="false"/>
          <w:i w:val="false"/>
          <w:iCs w:val="false"/>
          <w:color w:val="000000"/>
          <w:sz w:val="22"/>
          <w:szCs w:val="22"/>
        </w:rPr>
        <w:t xml:space="preserve">The proof uses two established results (BKM 1984, CFM 1996), one external axiom (Axiom A1, no free parameters), and the internal structure of Commitment Mathematics. Velocity divergence is the physical signature of memory collapse, not its cause.</w:t>
      </w:r>
    </w:p>
    <w:p>
      <w:pPr>
        <w:pBdr>
          <w:bottom w:val="single" w:color="2E5A9C" w:sz="4" w:space="1"/>
        </w:pBdr>
        <w:spacing w:before="200" w:after="200"/>
      </w:pPr>
      <w:r>
        <w:t xml:space="preserve"/>
      </w:r>
    </w:p>
    <w:p>
      <w:pPr>
        <w:pStyle w:val="Heading1"/>
        <w:spacing w:before="400" w:after="140"/>
      </w:pPr>
      <w:r>
        <w:rPr>
          <w:rFonts w:ascii="Arial" w:cs="Arial" w:eastAsia="Arial" w:hAnsi="Arial"/>
          <w:b/>
          <w:bCs/>
          <w:color w:val="1F3864"/>
          <w:sz w:val="28"/>
          <w:szCs w:val="28"/>
        </w:rPr>
        <w:t xml:space="preserve">References</w:t>
      </w:r>
    </w:p>
    <w:p>
      <w:pPr>
        <w:spacing w:before="80" w:after="80" w:line="280"/>
        <w:jc w:val="both"/>
      </w:pPr>
      <w:r>
        <w:rPr>
          <w:rFonts w:ascii="Arial" w:cs="Arial" w:eastAsia="Arial" w:hAnsi="Arial"/>
          <w:b w:val="false"/>
          <w:bCs w:val="false"/>
          <w:i w:val="false"/>
          <w:iCs w:val="false"/>
          <w:color w:val="000000"/>
          <w:sz w:val="22"/>
          <w:szCs w:val="22"/>
        </w:rPr>
        <w:t xml:space="preserve">Beale, J.T., Kato, T., &amp; Majda, A. (1984). Remarks on the breakdown of smooth solutions for the 3D Euler equations. Communications in Mathematical Physics, 94, 61-66.</w:t>
      </w:r>
    </w:p>
    <w:p>
      <w:pPr>
        <w:spacing w:before="80" w:after="80" w:line="280"/>
        <w:jc w:val="both"/>
      </w:pPr>
      <w:r>
        <w:rPr>
          <w:rFonts w:ascii="Arial" w:cs="Arial" w:eastAsia="Arial" w:hAnsi="Arial"/>
          <w:b w:val="false"/>
          <w:bCs w:val="false"/>
          <w:i w:val="false"/>
          <w:iCs w:val="false"/>
          <w:color w:val="000000"/>
          <w:sz w:val="22"/>
          <w:szCs w:val="22"/>
        </w:rPr>
        <w:t xml:space="preserve">Constantin, P., Fefferman, C., &amp; Majda, A. (1996). Geometric constraints on potentially singular solutions for the 3D Euler equations. Communications in Partial Differential Equations, 21, 559-571.</w:t>
      </w:r>
    </w:p>
    <w:p>
      <w:pPr>
        <w:spacing w:before="80" w:after="80" w:line="280"/>
        <w:jc w:val="both"/>
      </w:pPr>
      <w:r>
        <w:rPr>
          <w:rFonts w:ascii="Arial" w:cs="Arial" w:eastAsia="Arial" w:hAnsi="Arial"/>
          <w:b w:val="false"/>
          <w:bCs w:val="false"/>
          <w:i w:val="false"/>
          <w:iCs w:val="false"/>
          <w:color w:val="000000"/>
          <w:sz w:val="22"/>
          <w:szCs w:val="22"/>
        </w:rPr>
        <w:t xml:space="preserve">Fefferman, C.L. (2006). Existence and Smoothness of the Navier-Stokes Equation. Millennium Prize Problems, Clay Mathematics Institute.</w:t>
      </w:r>
    </w:p>
    <w:p>
      <w:pPr>
        <w:spacing w:before="80" w:after="80" w:line="280"/>
        <w:jc w:val="both"/>
      </w:pPr>
      <w:r>
        <w:rPr>
          <w:rFonts w:ascii="Arial" w:cs="Arial" w:eastAsia="Arial" w:hAnsi="Arial"/>
          <w:b w:val="false"/>
          <w:bCs w:val="false"/>
          <w:i w:val="false"/>
          <w:iCs w:val="false"/>
          <w:color w:val="000000"/>
          <w:sz w:val="22"/>
          <w:szCs w:val="22"/>
        </w:rPr>
        <w:t xml:space="preserve">Kolmogorov, A.N. (1941). The local structure of turbulence in incompressible viscous fluid for very large Reynolds numbers. Proceedings of the USSR Academy of Sciences, 30, 301-305.</w:t>
      </w:r>
    </w:p>
    <w:p>
      <w:pPr>
        <w:spacing w:before="80" w:after="80" w:line="280"/>
        <w:jc w:val="both"/>
      </w:pPr>
      <w:r>
        <w:rPr>
          <w:rFonts w:ascii="Arial" w:cs="Arial" w:eastAsia="Arial" w:hAnsi="Arial"/>
          <w:b w:val="false"/>
          <w:bCs w:val="false"/>
          <w:i w:val="false"/>
          <w:iCs w:val="false"/>
          <w:color w:val="000000"/>
          <w:sz w:val="22"/>
          <w:szCs w:val="22"/>
        </w:rPr>
        <w:t xml:space="preserve">Leray, J. (1934). Sur le mouvement d’un liquide visqueux emplissant l’espace. Acta Mathematica, 63, 193-248.</w:t>
      </w:r>
    </w:p>
    <w:p>
      <w:pPr>
        <w:spacing w:before="80" w:after="80" w:line="280"/>
        <w:jc w:val="both"/>
      </w:pPr>
      <w:r>
        <w:rPr>
          <w:rFonts w:ascii="Arial" w:cs="Arial" w:eastAsia="Arial" w:hAnsi="Arial"/>
          <w:b w:val="false"/>
          <w:bCs w:val="false"/>
          <w:i w:val="false"/>
          <w:iCs w:val="false"/>
          <w:color w:val="000000"/>
          <w:sz w:val="22"/>
          <w:szCs w:val="22"/>
        </w:rPr>
        <w:t xml:space="preserve">Constantin, P. &amp; Foias, C. (1988). Navier-Stokes Equations. University of Chicago Press.</w:t>
      </w:r>
    </w:p>
    <w:p>
      <w:pPr>
        <w:spacing w:before="80" w:after="80" w:line="280"/>
        <w:jc w:val="both"/>
      </w:pPr>
      <w:r>
        <w:rPr>
          <w:rFonts w:ascii="Arial" w:cs="Arial" w:eastAsia="Arial" w:hAnsi="Arial"/>
          <w:b w:val="false"/>
          <w:bCs w:val="false"/>
          <w:i w:val="false"/>
          <w:iCs w:val="false"/>
          <w:color w:val="000000"/>
          <w:sz w:val="22"/>
          <w:szCs w:val="22"/>
        </w:rPr>
        <w:t xml:space="preserve">Isong, O.B. (2026). Commitment Mathematics: Complete Formalism 4.0. Genie Capital Ltd.</w:t>
      </w:r>
    </w:p>
    <w:p>
      <w:pPr>
        <w:spacing w:before="80" w:after="80" w:line="280"/>
        <w:jc w:val="both"/>
      </w:pPr>
      <w:r>
        <w:rPr>
          <w:rFonts w:ascii="Arial" w:cs="Arial" w:eastAsia="Arial" w:hAnsi="Arial"/>
          <w:b w:val="false"/>
          <w:bCs w:val="false"/>
          <w:i w:val="false"/>
          <w:iCs w:val="false"/>
          <w:color w:val="000000"/>
          <w:sz w:val="22"/>
          <w:szCs w:val="22"/>
        </w:rPr>
        <w:t xml:space="preserve">Isong, O.B. (2026). Commitment Mathematics Addendum 1: Formal Resolutions. Genie Capital Ltd.</w:t>
      </w:r>
    </w:p>
    <w:p>
      <w:pPr>
        <w:spacing w:before="80" w:after="80" w:line="280"/>
        <w:jc w:val="both"/>
      </w:pPr>
      <w:r>
        <w:rPr>
          <w:rFonts w:ascii="Arial" w:cs="Arial" w:eastAsia="Arial" w:hAnsi="Arial"/>
          <w:b w:val="false"/>
          <w:bCs w:val="false"/>
          <w:i w:val="false"/>
          <w:iCs w:val="false"/>
          <w:color w:val="000000"/>
          <w:sz w:val="22"/>
          <w:szCs w:val="22"/>
        </w:rPr>
        <w:t xml:space="preserve">Isong, O.B. (2026). The Commitment Field: A Complete Treatment of the Fabric in Commitment Mathematics. Genie Capital Ltd.</w:t>
      </w:r>
    </w:p>
    <w:p>
      <w:pPr>
        <w:spacing w:before="80" w:after="80" w:line="280"/>
        <w:jc w:val="both"/>
      </w:pPr>
      <w:r>
        <w:rPr>
          <w:rFonts w:ascii="Arial" w:cs="Arial" w:eastAsia="Arial" w:hAnsi="Arial"/>
          <w:b w:val="false"/>
          <w:bCs w:val="false"/>
          <w:i w:val="false"/>
          <w:iCs w:val="false"/>
          <w:color w:val="000000"/>
          <w:sz w:val="22"/>
          <w:szCs w:val="22"/>
        </w:rPr>
        <w:t xml:space="preserve">Isong, O.B. (2026). Time, Temporal Entanglement, and Coordination: A Commitment Mathematics Framework. Genie Capital Ltd.</w:t>
      </w:r>
    </w:p>
    <w:p>
      <w:pPr>
        <w:spacing w:before="80" w:after="80" w:line="280"/>
        <w:jc w:val="both"/>
      </w:pPr>
      <w:r>
        <w:rPr>
          <w:rFonts w:ascii="Arial" w:cs="Arial" w:eastAsia="Arial" w:hAnsi="Arial"/>
          <w:b w:val="false"/>
          <w:bCs w:val="false"/>
          <w:i w:val="false"/>
          <w:iCs w:val="false"/>
          <w:color w:val="000000"/>
          <w:sz w:val="22"/>
          <w:szCs w:val="22"/>
        </w:rPr>
        <w:t xml:space="preserve">Isong, O.B. (2026). From 1D to 6D: The Relational Foundation of Reality. Genie Capital Ltd.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spacing w:before="100"/>
    </w:pPr>
    <w:r>
      <w:rPr>
        <w:rFonts w:ascii="Arial" w:cs="Arial" w:eastAsia="Arial" w:hAnsi="Arial"/>
        <w:color w:val="888888"/>
        <w:sz w:val="16"/>
        <w:szCs w:val="16"/>
      </w:rPr>
      <w:t xml:space="preserve">Otto Beseka Isong  |  ottobeseka@geniecapital.co</w:t>
    </w:r>
    <w: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00"/>
    </w:pPr>
    <w:r>
      <w:rPr>
        <w:rFonts w:ascii="Arial" w:cs="Arial" w:eastAsia="Arial" w:hAnsi="Arial"/>
        <w:b/>
        <w:bCs/>
        <w:color w:val="1F3864"/>
        <w:sz w:val="18"/>
        <w:szCs w:val="18"/>
      </w:rPr>
      <w:t xml:space="preserve">Turbulence as Temporal Collapse</w:t>
    </w:r>
    <w:r>
      <w:rPr>
        <w:rFonts w:ascii="Arial" w:cs="Arial" w:eastAsia="Arial" w:hAnsi="Arial"/>
        <w:color w:val="888888"/>
        <w:sz w:val="18"/>
        <w:szCs w:val="18"/>
      </w:rPr>
      <w:t xml:space="preserve">  |  Commitment Mathematics  |  Genie Capital Ltd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5A9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E5A9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2026-02-15T16:27:49.549Z</dcterms:created>
  <dcterms:modified xsi:type="dcterms:W3CDTF">2026-02-15T16:27:49.550Z</dcterms:modified>
</cp:coreProperties>
</file>

<file path=docProps/custom.xml><?xml version="1.0" encoding="utf-8"?>
<Properties xmlns="http://schemas.openxmlformats.org/officeDocument/2006/custom-properties" xmlns:vt="http://schemas.openxmlformats.org/officeDocument/2006/docPropsVTypes"/>
</file>