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80"/>
        <w:jc w:val="center"/>
      </w:pPr>
      <w:r>
        <w:rPr>
          <w:rFonts w:ascii="Arial" w:cs="Arial" w:eastAsia="Arial" w:hAnsi="Arial"/>
          <w:b/>
          <w:bCs/>
          <w:color w:val="1F3864"/>
          <w:sz w:val="50"/>
          <w:szCs w:val="50"/>
        </w:rPr>
        <w:t xml:space="preserve">A Commitment Mathematics Taxonomy of Disease</w:t>
      </w:r>
    </w:p>
    <w:p>
      <w:pPr>
        <w:spacing w:before="0" w:after="280"/>
        <w:jc w:val="center"/>
      </w:pPr>
      <w:r>
        <w:rPr>
          <w:rFonts w:ascii="Arial" w:cs="Arial" w:eastAsia="Arial" w:hAnsi="Arial"/>
          <w:i/>
          <w:iCs/>
          <w:color w:val="2E75B6"/>
          <w:sz w:val="26"/>
          <w:szCs w:val="26"/>
        </w:rPr>
        <w:t xml:space="preserve">Classifying Pathology by Operation Failure, Control Absence, Fabric Degradation, and Adversarial Intrusion</w:t>
      </w:r>
    </w:p>
    <w:p>
      <w:pPr>
        <w:pBdr>
          <w:bottom w:val="single" w:color="2E75B6" w:sz="6" w:space="1"/>
        </w:pBdr>
        <w:spacing w:before="200" w:after="200"/>
      </w:pPr>
      <w:r>
        <w:t xml:space="preserve"/>
      </w:r>
    </w:p>
    <w:p>
      <w:pPr>
        <w:spacing w:before="0" w:after="80"/>
      </w:pPr>
      <w:r>
        <w:t xml:space="preserve"/>
      </w:r>
    </w:p>
    <w:p>
      <w:pPr>
        <w:spacing w:before="0" w:after="60"/>
        <w:jc w:val="center"/>
      </w:pPr>
      <w:r>
        <w:rPr>
          <w:rFonts w:ascii="Arial" w:cs="Arial" w:eastAsia="Arial" w:hAnsi="Arial"/>
          <w:b/>
          <w:bCs/>
          <w:sz w:val="24"/>
          <w:szCs w:val="24"/>
        </w:rPr>
        <w:t xml:space="preserve">Otto Beseka Isong, DeepSeek, Claude</w:t>
      </w:r>
    </w:p>
    <w:p>
      <w:pPr>
        <w:spacing w:before="0" w:after="60"/>
        <w:jc w:val="center"/>
      </w:pPr>
      <w:r>
        <w:rPr>
          <w:rFonts w:ascii="Arial" w:cs="Arial" w:eastAsia="Arial" w:hAnsi="Arial"/>
          <w:i/>
          <w:iCs/>
          <w:sz w:val="22"/>
          <w:szCs w:val="22"/>
        </w:rPr>
        <w:t xml:space="preserve">Genie Capital Ltd</w:t>
      </w:r>
    </w:p>
    <w:p>
      <w:pPr>
        <w:spacing w:before="0" w:after="280"/>
        <w:jc w:val="center"/>
      </w:pPr>
      <w:r>
        <w:rPr>
          <w:rFonts w:ascii="Arial" w:cs="Arial" w:eastAsia="Arial" w:hAnsi="Arial"/>
          <w:color w:val="2E75B6"/>
          <w:sz w:val="22"/>
          <w:szCs w:val="22"/>
        </w:rPr>
        <w:t xml:space="preserve">ottobeseka@geniecapital.co</w:t>
      </w:r>
    </w:p>
    <w:p>
      <w:pPr>
        <w:pBdr>
          <w:bottom w:val="single" w:color="2E75B6" w:sz="6" w:space="1"/>
        </w:pBdr>
        <w:spacing w:before="200" w:after="200"/>
      </w:pPr>
      <w:r>
        <w:t xml:space="preserve"/>
      </w:r>
    </w:p>
    <w:p>
      <w:pPr>
        <w:spacing w:before="0" w:after="80"/>
      </w:pPr>
      <w:r>
        <w:t xml:space="preserve"/>
      </w:r>
    </w:p>
    <w:p>
      <w:pPr>
        <w:spacing w:before="0" w:after="120"/>
      </w:pPr>
      <w:r>
        <w:rPr>
          <w:rFonts w:ascii="Arial" w:cs="Arial" w:eastAsia="Arial" w:hAnsi="Arial"/>
          <w:b/>
          <w:bCs/>
          <w:color w:val="1F3864"/>
          <w:sz w:val="26"/>
          <w:szCs w:val="26"/>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20"/>
              <w:bottom w:val="single" w:color="2E75B6" w:sz="3"/>
              <w:right w:val="single" w:color="2E75B6" w:sz="3"/>
            </w:tcBorders>
            <w:shd w:fill="EBF3FB" w:val="clear"/>
            <w:tcMar>
              <w:top w:type="dxa" w:w="180"/>
              <w:left w:type="dxa" w:w="280"/>
              <w:bottom w:type="dxa" w:w="180"/>
              <w:right w:type="dxa" w:w="280"/>
            </w:tcMar>
          </w:tcPr>
          <w:p>
            <w:pPr>
              <w:spacing w:before="80" w:after="80"/>
              <w:jc w:val="both"/>
            </w:pPr>
            <w:r>
              <w:rPr>
                <w:rFonts w:ascii="Arial" w:cs="Arial" w:eastAsia="Arial" w:hAnsi="Arial"/>
                <w:sz w:val="22"/>
                <w:szCs w:val="22"/>
              </w:rPr>
              <w:t xml:space="preserve">Current disease taxonomies are organized by organ system, pathogen class, symptom cluster, or genetic locus. These classifications are useful for clinical management but they do not reveal the underlying relational mechanism generating the pathology. Commitment Mathematics (CM) provides a substrate-independent framework in which every commitment system operates through six base operations (CRT, INC, ROT, JMP, RPR, ANL), dual control (TEST↔MONITOR), continuous Fabric regulation (SCRIBE, SECURE, MODULATE), and three-dimensional Fabric space (D, μ, λ). Disease is a commitment system operating outside its permitted domain. This paper proposes a formal CM taxonomy of disease organized across five independent axes: (I) Operation Failure — diseases driven by a specific base operation executing outside its permitted conditions; (II) Control Absence — diseases arising from failure of generative control (TEST, NEGOTIATE, EXECUTE, VIOLATE) or governance control (MONITOR, HANDLE, SCRIBE, SECURE, MODULATE); (III) Fabric Degradation — diseases characterized by persistent deviation of D, μ, or λ from viable ranges; (IV) Adversarial Intrusion — diseases caused by external COERCE, DECEIVE, EXTRACT, or SABOTAGE operations; and (V) Initialization Defect — diseases arising from malformed CRT, producing commitments with incorrect CV₀ or anchor parameters from the outset. A disease may instantiate multiple axes simultaneously; the taxonomy identifies the primary axis and secondary axes. A complete mapping of 60 diseases to this taxonomy is provided. Treatment implications follow directly from classification: each axis implies a specific intervention target. The taxonomy is substrate-independent and applies to cellular, organ-level, systemic, and psychological commitment systems.</w:t>
            </w:r>
          </w:p>
          <w:p>
            <w:pPr>
              <w:spacing w:before="60" w:after="60"/>
            </w:pPr>
            <w:r>
              <w:t xml:space="preserve"/>
            </w:r>
          </w:p>
          <w:p>
            <w:pPr>
              <w:spacing w:before="0" w:after="80"/>
            </w:pPr>
            <w:r>
              <w:rPr>
                <w:rFonts w:ascii="Arial" w:cs="Arial" w:eastAsia="Arial" w:hAnsi="Arial"/>
                <w:b/>
                <w:bCs/>
                <w:sz w:val="20"/>
                <w:szCs w:val="20"/>
              </w:rPr>
              <w:t xml:space="preserve">Keywords: </w:t>
            </w:r>
            <w:r>
              <w:rPr>
                <w:rFonts w:ascii="Arial" w:cs="Arial" w:eastAsia="Arial" w:hAnsi="Arial"/>
                <w:i/>
                <w:iCs/>
                <w:sz w:val="20"/>
                <w:szCs w:val="20"/>
              </w:rPr>
              <w:t xml:space="preserve">commitment mathematics, disease taxonomy, JUMP operation, control failure, Fabric degradation, adversarial intrusion, relational pathology, ontological classification, treatment target, substrate-independence</w:t>
            </w:r>
          </w:p>
        </w:tc>
      </w:tr>
    </w:tbl>
    <w:p>
      <w:pPr>
        <w:spacing w:before="80" w:after="80"/>
      </w:pPr>
      <w:r>
        <w:t xml:space="preserve"/>
      </w:r>
    </w:p>
    <w:p>
      <w:pPr>
        <w:pStyle w:val="Heading1"/>
        <w:spacing w:before="440" w:after="200"/>
      </w:pPr>
      <w:r>
        <w:rPr>
          <w:rFonts w:ascii="Arial" w:cs="Arial" w:eastAsia="Arial" w:hAnsi="Arial"/>
          <w:b/>
          <w:bCs/>
          <w:color w:val="1F3864"/>
          <w:sz w:val="30"/>
          <w:szCs w:val="30"/>
        </w:rPr>
        <w:t xml:space="preserve">1. The Problem with Current Disease Taxonomies</w:t>
      </w:r>
    </w:p>
    <w:p>
      <w:pPr>
        <w:spacing w:before="100" w:after="100"/>
        <w:jc w:val="both"/>
      </w:pPr>
      <w:r>
        <w:rPr>
          <w:rFonts w:ascii="Arial" w:cs="Arial" w:eastAsia="Arial" w:hAnsi="Arial"/>
          <w:sz w:val="22"/>
          <w:szCs w:val="22"/>
        </w:rPr>
        <w:t xml:space="preserve">Medicine has accumulated several overlapping disease classification systems: the International Classification of Diseases (ICD), the Diagnostic and Statistical Manual of Mental Disorders (DSM), the International Classification of Functioning (ICF), and numerous specialty-specific classifications. These systems are organized around four principles: organ of origin (cardiology, neurology, oncology), causative agent (infectious, genetic, environmental), symptom cluster (syndromes, phenotypes), and treatment modality (surgical, pharmacological, behavioral).</w:t>
      </w:r>
    </w:p>
    <w:p>
      <w:pPr>
        <w:spacing w:before="100" w:after="100"/>
        <w:jc w:val="both"/>
      </w:pPr>
      <w:r>
        <w:rPr>
          <w:rFonts w:ascii="Arial" w:cs="Arial" w:eastAsia="Arial" w:hAnsi="Arial"/>
          <w:sz w:val="22"/>
          <w:szCs w:val="22"/>
        </w:rPr>
        <w:t xml:space="preserve">These classifications are practically useful but ontologically shallow. They describe what the disease does (which organ is affected, what symptoms appear, what agent is present) without describing what the disease is at the relational level. This generates systematic problems:</w:t>
      </w:r>
    </w:p>
    <w:p>
      <w:pPr>
        <w:pStyle w:val="ListParagraph"/>
        <w:numPr>
          <w:ilvl w:val="0"/>
          <w:numId w:val="2"/>
        </w:numPr>
        <w:spacing w:before="80" w:after="80"/>
      </w:pPr>
      <w:r>
        <w:rPr>
          <w:rFonts w:ascii="Arial" w:cs="Arial" w:eastAsia="Arial" w:hAnsi="Arial"/>
          <w:sz w:val="22"/>
          <w:szCs w:val="22"/>
        </w:rPr>
        <w:t xml:space="preserve">The same organ-level pathology arises from different mechanisms: two patients with heart failure may have one with REPAIR failure (inability to recover from ischemic damage) and another with EXTRACT disease (parasitic or autoimmune depletion). Same organ, same symptom, different CM axis, different treatment target.</w:t>
      </w:r>
    </w:p>
    <w:p>
      <w:pPr>
        <w:pStyle w:val="ListParagraph"/>
        <w:numPr>
          <w:ilvl w:val="0"/>
          <w:numId w:val="2"/>
        </w:numPr>
        <w:spacing w:before="80" w:after="80"/>
      </w:pPr>
      <w:r>
        <w:rPr>
          <w:rFonts w:ascii="Arial" w:cs="Arial" w:eastAsia="Arial" w:hAnsi="Arial"/>
          <w:sz w:val="22"/>
          <w:szCs w:val="22"/>
        </w:rPr>
        <w:t xml:space="preserve">The same mechanism produces different organ-level pathologies: a MONITOR failure in the immune system produces immunodeficiency; a MONITOR failure in the cell cycle produces cancer; a MONITOR failure in the neural circuit produces treatment-resistant depression. Different organs, different symptoms, same CM axis, same treatment principle.</w:t>
      </w:r>
    </w:p>
    <w:p>
      <w:pPr>
        <w:pStyle w:val="ListParagraph"/>
        <w:numPr>
          <w:ilvl w:val="0"/>
          <w:numId w:val="2"/>
        </w:numPr>
        <w:spacing w:before="80" w:after="80"/>
      </w:pPr>
      <w:r>
        <w:rPr>
          <w:rFonts w:ascii="Arial" w:cs="Arial" w:eastAsia="Arial" w:hAnsi="Arial"/>
          <w:sz w:val="22"/>
          <w:szCs w:val="22"/>
        </w:rPr>
        <w:t xml:space="preserve">Comorbidity appears coincidental: the frequent co-occurrence of type 2 diabetes, hypertension, and atherosclerosis (metabolic syndrome) is treated as a statistical association without mechanistic unity. Under CM all three are INCREMENT diseases driven by anchor parameter drift outside viable ranges, sharing the same primary axis and predicting shared treatment targets.</w:t>
      </w:r>
    </w:p>
    <w:p>
      <w:pPr>
        <w:pStyle w:val="ListParagraph"/>
        <w:numPr>
          <w:ilvl w:val="0"/>
          <w:numId w:val="2"/>
        </w:numPr>
        <w:spacing w:before="80" w:after="80"/>
      </w:pPr>
      <w:r>
        <w:rPr>
          <w:rFonts w:ascii="Arial" w:cs="Arial" w:eastAsia="Arial" w:hAnsi="Arial"/>
          <w:sz w:val="22"/>
          <w:szCs w:val="22"/>
        </w:rPr>
        <w:t xml:space="preserve">Treatment is organ-specific rather than mechanism-specific: chemotherapy targets the cell as bound system rather than the memory carrier (oncogenic non-coding RNA). Antihypertensives target the blood vessel rather than the INCREMENT drift mechanism. The CM taxonomy redirects treatment to the correct relational target.</w:t>
      </w:r>
    </w:p>
    <w:p>
      <w:pPr>
        <w:spacing w:before="80" w:after="80"/>
      </w:pPr>
      <w:r>
        <w:t xml:space="preserve"/>
      </w:r>
    </w:p>
    <w:p>
      <w:pPr>
        <w:spacing w:before="100" w:after="100"/>
        <w:jc w:val="both"/>
      </w:pPr>
      <w:r>
        <w:rPr>
          <w:rFonts w:ascii="Arial" w:cs="Arial" w:eastAsia="Arial" w:hAnsi="Arial"/>
          <w:sz w:val="22"/>
          <w:szCs w:val="22"/>
        </w:rPr>
        <w:t xml:space="preserve">Commitment Mathematics provides the alternative: classify by the relational mechanism generating the pathology. The disease is not in the organ. It is in the commitment operation, control structure, Fabric coordinate, or adversarial intrusion that has violated the system’s operational integrity.</w:t>
      </w:r>
    </w:p>
    <w:p>
      <w:pPr>
        <w:pStyle w:val="Heading2"/>
        <w:spacing w:before="300" w:after="140"/>
      </w:pPr>
      <w:r>
        <w:rPr>
          <w:rFonts w:ascii="Arial" w:cs="Arial" w:eastAsia="Arial" w:hAnsi="Arial"/>
          <w:b/>
          <w:bCs/>
          <w:color w:val="2E75B6"/>
          <w:sz w:val="26"/>
          <w:szCs w:val="26"/>
        </w:rPr>
        <w:t xml:space="preserve">1.1 The CM Definition of Disease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20"/>
              <w:bottom w:val="single" w:color="C9A84C" w:sz="3"/>
              <w:right w:val="single" w:color="C9A84C" w:sz="3"/>
            </w:tcBorders>
            <w:shd w:fill="FEFBF3" w:val="clear"/>
            <w:tcMar>
              <w:top w:type="dxa" w:w="180"/>
              <w:left w:type="dxa" w:w="280"/>
              <w:bottom w:type="dxa" w:w="180"/>
              <w:right w:type="dxa" w:w="280"/>
            </w:tcMar>
          </w:tcPr>
          <w:p>
            <w:pPr>
              <w:spacing w:before="80" w:after="80"/>
              <w:jc w:val="both"/>
            </w:pPr>
            <w:r>
              <w:rPr>
                <w:rFonts w:ascii="Arial" w:cs="Arial" w:eastAsia="Arial" w:hAnsi="Arial"/>
                <w:b/>
                <w:bCs/>
                <w:color w:val="C9A84C"/>
                <w:sz w:val="22"/>
                <w:szCs w:val="22"/>
              </w:rPr>
              <w:t xml:space="preserve">Definition: </w:t>
            </w:r>
            <w:r>
              <w:rPr>
                <w:rFonts w:ascii="Arial" w:cs="Arial" w:eastAsia="Arial" w:hAnsi="Arial"/>
                <w:sz w:val="22"/>
                <w:szCs w:val="22"/>
              </w:rPr>
              <w:t xml:space="preserve">A disease is a commitment system operating outside its permitted domain. Permitted domain is defined by the six base operations and their mode-dependent constraints, the dual control architecture (TEST↔MONITOR), the Fabric viability ranges (D ≥ D_critical, μ ≥ μ_critical, λ ≤ λ_critical), and the conservation of relational value (RV_total path-invariant). Pathology is the state space region outside these constraints. Health is operation within them.</w:t>
            </w:r>
          </w:p>
        </w:tc>
      </w:tr>
    </w:tbl>
    <w:p>
      <w:pPr>
        <w:spacing w:before="80" w:after="80"/>
      </w:pPr>
      <w:r>
        <w:t xml:space="preserve"/>
      </w:r>
    </w:p>
    <w:p>
      <w:pPr>
        <w:spacing w:before="100" w:after="100"/>
        <w:jc w:val="both"/>
      </w:pPr>
      <w:r>
        <w:rPr>
          <w:rFonts w:ascii="Arial" w:cs="Arial" w:eastAsia="Arial" w:hAnsi="Arial"/>
          <w:sz w:val="22"/>
          <w:szCs w:val="22"/>
        </w:rPr>
        <w:t xml:space="preserve">This definition is substrate-independent. It applies equally to a single cell, a tissue, an organ, an organism, a social system, or an ecological network. The five axes of the taxonomy follow directly from the five ways a commitment system can exit its permitted domain.</w:t>
      </w:r>
    </w:p>
    <w:p>
      <w:pPr>
        <w:pStyle w:val="Heading1"/>
        <w:spacing w:before="440" w:after="200"/>
      </w:pPr>
      <w:r>
        <w:rPr>
          <w:rFonts w:ascii="Arial" w:cs="Arial" w:eastAsia="Arial" w:hAnsi="Arial"/>
          <w:b/>
          <w:bCs/>
          <w:color w:val="1F3864"/>
          <w:sz w:val="30"/>
          <w:szCs w:val="30"/>
        </w:rPr>
        <w:t xml:space="preserve">2. The Five Axes of the CM Disease Taxonomy</w:t>
      </w:r>
    </w:p>
    <w:p>
      <w:pPr>
        <w:pStyle w:val="Heading2"/>
        <w:spacing w:before="300" w:after="140"/>
      </w:pPr>
      <w:r>
        <w:rPr>
          <w:rFonts w:ascii="Arial" w:cs="Arial" w:eastAsia="Arial" w:hAnsi="Arial"/>
          <w:b/>
          <w:bCs/>
          <w:color w:val="2E75B6"/>
          <w:sz w:val="26"/>
          <w:szCs w:val="26"/>
        </w:rPr>
        <w:t xml:space="preserve">2.1 Axis I: Operation Failure</w:t>
      </w:r>
    </w:p>
    <w:p>
      <w:pPr>
        <w:spacing w:before="100" w:after="100"/>
        <w:jc w:val="both"/>
      </w:pPr>
      <w:r>
        <w:rPr>
          <w:rFonts w:ascii="Arial" w:cs="Arial" w:eastAsia="Arial" w:hAnsi="Arial"/>
          <w:sz w:val="22"/>
          <w:szCs w:val="22"/>
        </w:rPr>
        <w:t xml:space="preserve">An Axis I disease arises when a base operation executes outside its permitted domain, executes without meeting its conditions, executes at the wrong magnitude, or fails to execute when required. Each of the six base operations defines a disease class.</w:t>
      </w:r>
    </w:p>
    <w:p>
      <w:pPr>
        <w:pStyle w:val="Heading3"/>
        <w:spacing w:before="220" w:after="100"/>
      </w:pPr>
      <w:r>
        <w:rPr>
          <w:rFonts w:ascii="Arial" w:cs="Arial" w:eastAsia="Arial" w:hAnsi="Arial"/>
          <w:b/>
          <w:bCs/>
          <w:color w:val="444444"/>
          <w:sz w:val="23"/>
          <w:szCs w:val="23"/>
        </w:rPr>
        <w:t xml:space="preserve">I-JMP: JUMP Diseases</w:t>
      </w:r>
    </w:p>
    <w:p>
      <w:pPr>
        <w:spacing w:before="100" w:after="100"/>
        <w:jc w:val="both"/>
      </w:pPr>
      <w:r>
        <w:rPr>
          <w:rFonts w:ascii="Arial" w:cs="Arial" w:eastAsia="Arial" w:hAnsi="Arial"/>
          <w:sz w:val="22"/>
          <w:szCs w:val="22"/>
        </w:rPr>
        <w:t xml:space="preserve">A JUMP disease occurs when the JUMP operation executes without meeting all four conditions (Theorem 6.2): Coupling mode, gender complementarity, coupling strength κ &gt; 0.8, and resistance overcome. Unauthorized JUMPs produce discrete, irreversible state transitions that the system did not permit. The canonical example is malignant transformation: the cell executes a JUMP to a proliferative state without the bilateral consent of the organism’s commitment network. The JUMP is real — a genuine discrete state transition — but it violates the governance architecture.</w:t>
      </w:r>
    </w:p>
    <w:p>
      <w:pPr>
        <w:spacing w:before="100" w:after="100"/>
        <w:jc w:val="both"/>
      </w:pPr>
      <w:r>
        <w:rPr>
          <w:rFonts w:ascii="Arial" w:cs="Arial" w:eastAsia="Arial" w:hAnsi="Arial"/>
          <w:sz w:val="22"/>
          <w:szCs w:val="22"/>
        </w:rPr>
        <w:t xml:space="preserve">I-JMP diseases are characterized by: discreteness (there is a transition point, not a gradual change), irreversibility (the post-JUMP state is stable and resists return), cascade potential (the post-JUMP state itself becomes a bound system for further unauthorized JUMPs), and energy asymmetry (the trigger is small relative to the transition’s consequence).</w:t>
      </w:r>
    </w:p>
    <w:p>
      <w:pPr>
        <w:spacing w:before="100" w:after="100"/>
        <w:jc w:val="both"/>
      </w:pPr>
      <w:r>
        <w:rPr>
          <w:rFonts w:ascii="Arial" w:cs="Arial" w:eastAsia="Arial" w:hAnsi="Arial"/>
          <w:sz w:val="22"/>
          <w:szCs w:val="22"/>
        </w:rPr>
        <w:t xml:space="preserve">Primary examples: all cancers (unauthorized somatic JUMP), epileptic seizure (unauthorized neural JUMP from resting to firing), cardiac arrhythmia (unauthorized JUMP in pacemaker state), prion disease (misfolded protein triggers unauthorized JUMP in neighboring proteins), type 1 diabetes onset (autoimmune JUMP destroying beta cell population), anaphylaxis (JUMP in immune response state without appropriate trigger).</w:t>
      </w:r>
    </w:p>
    <w:p>
      <w:pPr>
        <w:pStyle w:val="Heading3"/>
        <w:spacing w:before="220" w:after="100"/>
      </w:pPr>
      <w:r>
        <w:rPr>
          <w:rFonts w:ascii="Arial" w:cs="Arial" w:eastAsia="Arial" w:hAnsi="Arial"/>
          <w:b/>
          <w:bCs/>
          <w:color w:val="444444"/>
          <w:sz w:val="23"/>
          <w:szCs w:val="23"/>
        </w:rPr>
        <w:t xml:space="preserve">I-INC: INCREMENT Diseases</w:t>
      </w:r>
    </w:p>
    <w:p>
      <w:pPr>
        <w:spacing w:before="100" w:after="100"/>
        <w:jc w:val="both"/>
      </w:pPr>
      <w:r>
        <w:rPr>
          <w:rFonts w:ascii="Arial" w:cs="Arial" w:eastAsia="Arial" w:hAnsi="Arial"/>
          <w:sz w:val="22"/>
          <w:szCs w:val="22"/>
        </w:rPr>
        <w:t xml:space="preserve">An INC disease occurs when an anchor parameter (V, A, T) drifts outside viable range through accumulated uncorrected INCREMENT operations. Unlike JUMP diseases, INC diseases are gradual: each individual INCREMENT is small and apparently within domain, but the cumulative drift exceeds the system’s homeostatic capacity. The pathology emerges not from any single operation but from the path — the history of increments that MONITOR failed to correct.</w:t>
      </w:r>
    </w:p>
    <w:p>
      <w:pPr>
        <w:spacing w:before="100" w:after="100"/>
        <w:jc w:val="both"/>
      </w:pPr>
      <w:r>
        <w:rPr>
          <w:rFonts w:ascii="Arial" w:cs="Arial" w:eastAsia="Arial" w:hAnsi="Arial"/>
          <w:sz w:val="22"/>
          <w:szCs w:val="22"/>
        </w:rPr>
        <w:t xml:space="preserve">I-INC diseases are characterized by: gradual onset (years to decades), dose-response relationship (longer exposure or higher magnitude drift → more severe pathology), partial reversibility (unlike JUMP, the state can often be restored if drift is corrected early), and systemic spread (INC drift in one commitment propagates through dependency graph to downstream commitments).</w:t>
      </w:r>
    </w:p>
    <w:p>
      <w:pPr>
        <w:spacing w:before="100" w:after="100"/>
        <w:jc w:val="both"/>
      </w:pPr>
      <w:r>
        <w:rPr>
          <w:rFonts w:ascii="Arial" w:cs="Arial" w:eastAsia="Arial" w:hAnsi="Arial"/>
          <w:sz w:val="22"/>
          <w:szCs w:val="22"/>
        </w:rPr>
        <w:t xml:space="preserve">Primary examples: hypertension (blood pressure INC drift through arterial resistance accumulation), type 2 diabetes (insulin sensitivity INC drift through receptor downregulation), atherosclerosis (plaque INC accumulation through lipid deposition), obesity (energy balance INC drift through appetite-satiety dysregulation), chronic kidney disease (nephron loss INC accumulation), osteoporosis (bone density INC decline through remodeling imbalance), age-related cognitive decline (synaptic INC loss through normal aging without adequate REPAIR).</w:t>
      </w:r>
    </w:p>
    <w:p>
      <w:pPr>
        <w:pStyle w:val="Heading3"/>
        <w:spacing w:before="220" w:after="100"/>
      </w:pPr>
      <w:r>
        <w:rPr>
          <w:rFonts w:ascii="Arial" w:cs="Arial" w:eastAsia="Arial" w:hAnsi="Arial"/>
          <w:b/>
          <w:bCs/>
          <w:color w:val="444444"/>
          <w:sz w:val="23"/>
          <w:szCs w:val="23"/>
        </w:rPr>
        <w:t xml:space="preserve">I-ROT: ROTATE Diseases</w:t>
      </w:r>
    </w:p>
    <w:p>
      <w:pPr>
        <w:spacing w:before="100" w:after="100"/>
        <w:jc w:val="both"/>
      </w:pPr>
      <w:r>
        <w:rPr>
          <w:rFonts w:ascii="Arial" w:cs="Arial" w:eastAsia="Arial" w:hAnsi="Arial"/>
          <w:sz w:val="22"/>
          <w:szCs w:val="22"/>
        </w:rPr>
        <w:t xml:space="preserve">A ROT disease occurs when frame phase θ is rotated outside the alignment range required for coherent operation. In biological systems, frame phase represents the commitment’s functional identity — what role it plays in the relational network. A pathological ROT produces frame misalignment: the commitment’s frame is no longer aligned with the frames of the commitments it is supposed to interact with. This generates either failed interactions (ℒ = −1 where +1 was required) or incorrect interactions (ℒ = +1 with the wrong partner).</w:t>
      </w:r>
    </w:p>
    <w:p>
      <w:pPr>
        <w:spacing w:before="100" w:after="100"/>
        <w:jc w:val="both"/>
      </w:pPr>
      <w:r>
        <w:rPr>
          <w:rFonts w:ascii="Arial" w:cs="Arial" w:eastAsia="Arial" w:hAnsi="Arial"/>
          <w:sz w:val="22"/>
          <w:szCs w:val="22"/>
        </w:rPr>
        <w:t xml:space="preserve">I-ROT diseases are characterized by: identity misalignment (the commitment is structurally intact but oriented incorrectly), misrecognition (the system acts on wrong partners or fails to recognize correct partners), context-dependence (the pathology manifests when the misaligned commitment encounters its normal interaction partners), and selective preservation (functions not requiring the misaligned frame are preserved).</w:t>
      </w:r>
    </w:p>
    <w:p>
      <w:pPr>
        <w:spacing w:before="100" w:after="100"/>
        <w:jc w:val="both"/>
      </w:pPr>
      <w:r>
        <w:rPr>
          <w:rFonts w:ascii="Arial" w:cs="Arial" w:eastAsia="Arial" w:hAnsi="Arial"/>
          <w:sz w:val="22"/>
          <w:szCs w:val="22"/>
        </w:rPr>
        <w:t xml:space="preserve">Primary examples: autoimmune disease (immune cell frame rotated to recognize self-antigens as foreign — ROT produces ℒ = +1 with self-tissue instead of −1), transplant rejection (recipient immune frame not aligned with donor tissue frame, producing ℒ = −1 instead of +1), certain congenital enzyme deficiencies (enzyme active site ROT prevents substrate recognition), receptor misalignment disorders (hormone receptors ROT preventing ligand binding despite intact receptor structure), certain psychiatric disorders involving identity reorganization.</w:t>
      </w:r>
    </w:p>
    <w:p>
      <w:pPr>
        <w:pStyle w:val="Heading3"/>
        <w:spacing w:before="220" w:after="100"/>
      </w:pPr>
      <w:r>
        <w:rPr>
          <w:rFonts w:ascii="Arial" w:cs="Arial" w:eastAsia="Arial" w:hAnsi="Arial"/>
          <w:b/>
          <w:bCs/>
          <w:color w:val="444444"/>
          <w:sz w:val="23"/>
          <w:szCs w:val="23"/>
        </w:rPr>
        <w:t xml:space="preserve">I-RPR: REPAIR Failure Diseases</w:t>
      </w:r>
    </w:p>
    <w:p>
      <w:pPr>
        <w:spacing w:before="100" w:after="100"/>
        <w:jc w:val="both"/>
      </w:pPr>
      <w:r>
        <w:rPr>
          <w:rFonts w:ascii="Arial" w:cs="Arial" w:eastAsia="Arial" w:hAnsi="Arial"/>
          <w:sz w:val="22"/>
          <w:szCs w:val="22"/>
        </w:rPr>
        <w:t xml:space="preserve">An RPR disease occurs when the REPAIR operation fails to execute when damage exceeds threshold, executes with insufficient repair coefficient r, or executes without the compensation required to restore Fabric coordinates. The commitment accumulates damage that it cannot reverse. In biological systems, REPAIR operates continuously through DNA damage response, protein quality control, autophagy, immune surveillance, and tissue regeneration.</w:t>
      </w:r>
    </w:p>
    <w:p>
      <w:pPr>
        <w:spacing w:before="100" w:after="100"/>
        <w:jc w:val="both"/>
      </w:pPr>
      <w:r>
        <w:rPr>
          <w:rFonts w:ascii="Arial" w:cs="Arial" w:eastAsia="Arial" w:hAnsi="Arial"/>
          <w:sz w:val="22"/>
          <w:szCs w:val="22"/>
        </w:rPr>
        <w:t xml:space="preserve">I-RPR diseases are characterized by: accumulation pattern (damage accumulates faster than repair), compensation deficit (REPAIR requires compensation proportional to damage; if compensation is unavailable, REPAIR stalls), threshold effects (minor damage is corrected; damage above threshold overwhelms REPAIR capacity), and irreversibility at late stages (if accumulated damage causes MONITOR failure, the system loses the capacity to detect that REPAIR is needed).</w:t>
      </w:r>
    </w:p>
    <w:p>
      <w:pPr>
        <w:spacing w:before="100" w:after="100"/>
        <w:jc w:val="both"/>
      </w:pPr>
      <w:r>
        <w:rPr>
          <w:rFonts w:ascii="Arial" w:cs="Arial" w:eastAsia="Arial" w:hAnsi="Arial"/>
          <w:sz w:val="22"/>
          <w:szCs w:val="22"/>
        </w:rPr>
        <w:t xml:space="preserve">Primary examples: fibrosis (pathological REPAIR overactivation depositing excess collagen instead of functional tissue), chronic non-healing wounds (REPAIR failure due to insufficient compensation — poor circulation, malnutrition, immunosuppression), neurodegenerative diseases where protein aggregates are not cleared (Parkinson’s: Lewy body accumulation; Huntington’s: polyglutamine aggregate accumulation), heart failure following myocardial infarction (ischemic damage exceeds REPAIR capacity), cirrhosis (hepatic REPAIR replaced by fibrotic scarring).</w:t>
      </w:r>
    </w:p>
    <w:p>
      <w:pPr>
        <w:pStyle w:val="Heading3"/>
        <w:spacing w:before="220" w:after="100"/>
      </w:pPr>
      <w:r>
        <w:rPr>
          <w:rFonts w:ascii="Arial" w:cs="Arial" w:eastAsia="Arial" w:hAnsi="Arial"/>
          <w:b/>
          <w:bCs/>
          <w:color w:val="444444"/>
          <w:sz w:val="23"/>
          <w:szCs w:val="23"/>
        </w:rPr>
        <w:t xml:space="preserve">I-ANL: ANNIHILATE Cascade Diseases</w:t>
      </w:r>
    </w:p>
    <w:p>
      <w:pPr>
        <w:spacing w:before="100" w:after="100"/>
        <w:jc w:val="both"/>
      </w:pPr>
      <w:r>
        <w:rPr>
          <w:rFonts w:ascii="Arial" w:cs="Arial" w:eastAsia="Arial" w:hAnsi="Arial"/>
          <w:sz w:val="22"/>
          <w:szCs w:val="22"/>
        </w:rPr>
        <w:t xml:space="preserve">An ANL disease occurs when ANNIHILATE executes on commitments that should be preserved, or cascades through dependency chains faster than REPAIR can respond. Authorized ANNIHILATE (apoptosis, programmed cell death) is essential for health. Pathological ANNIHILATE executes without bilateral consent, beyond compensation settlement, or without dependency resolution — leaving orphaned downstream commitments whose parent has been removed.</w:t>
      </w:r>
    </w:p>
    <w:p>
      <w:pPr>
        <w:spacing w:before="100" w:after="100"/>
        <w:jc w:val="both"/>
      </w:pPr>
      <w:r>
        <w:rPr>
          <w:rFonts w:ascii="Arial" w:cs="Arial" w:eastAsia="Arial" w:hAnsi="Arial"/>
          <w:sz w:val="22"/>
          <w:szCs w:val="22"/>
        </w:rPr>
        <w:t xml:space="preserve">I-ANL diseases are characterized by: loss of function (the annihilated commitments’ functions are absent), cascade through dependency graph (Theorem 10.1: weakest link — CV(C_n) ≤ e^(-kn) · min CV(C_i)), rapid progression when central commitments are destroyed (high out-degree nodes propagate ANL cascade widely), and irreversibility (unlike RPR, ANL removes the commitment entirely, leaving no substrate for REPAIR to act on).</w:t>
      </w:r>
    </w:p>
    <w:p>
      <w:pPr>
        <w:spacing w:before="100" w:after="100"/>
        <w:jc w:val="both"/>
      </w:pPr>
      <w:r>
        <w:rPr>
          <w:rFonts w:ascii="Arial" w:cs="Arial" w:eastAsia="Arial" w:hAnsi="Arial"/>
          <w:sz w:val="22"/>
          <w:szCs w:val="22"/>
        </w:rPr>
        <w:t xml:space="preserve">Primary examples: stroke and ischemic injury (ANNIHILATE cascade through neurons deprived of oxygen), acute liver failure (mass hepatocyte ANL beyond regenerative capacity), acute respiratory distress syndrome (alveolar epithelium ANL cascade), fulminant type 1 diabetes (beta cell ANL cascade), spinal muscular atrophy (motor neuron ANL through survival motor neuron protein deficiency), retinitis pigmentosa (photoreceptor ANL cascade).</w:t>
      </w:r>
    </w:p>
    <w:p>
      <w:pPr>
        <w:pStyle w:val="Heading3"/>
        <w:spacing w:before="220" w:after="100"/>
      </w:pPr>
      <w:r>
        <w:rPr>
          <w:rFonts w:ascii="Arial" w:cs="Arial" w:eastAsia="Arial" w:hAnsi="Arial"/>
          <w:b/>
          <w:bCs/>
          <w:color w:val="444444"/>
          <w:sz w:val="23"/>
          <w:szCs w:val="23"/>
        </w:rPr>
        <w:t xml:space="preserve">I-CRT: Unauthorized CREATE Diseases</w:t>
      </w:r>
    </w:p>
    <w:p>
      <w:pPr>
        <w:spacing w:before="100" w:after="100"/>
        <w:jc w:val="both"/>
      </w:pPr>
      <w:r>
        <w:rPr>
          <w:rFonts w:ascii="Arial" w:cs="Arial" w:eastAsia="Arial" w:hAnsi="Arial"/>
          <w:sz w:val="22"/>
          <w:szCs w:val="22"/>
        </w:rPr>
        <w:t xml:space="preserve">A CRT disease occurs when commitments are created without bilateral agreement, outside viable anchor parameter ranges, or without the compensation required to bridge the valuation gap. Unauthorized CRT introduces commitments into the network that the network’s governance architecture has not sanctioned. These commitments draw on the network’s Fabric resources (D, μ, λ) without contributing to its conservation.</w:t>
      </w:r>
    </w:p>
    <w:p>
      <w:pPr>
        <w:spacing w:before="100" w:after="100"/>
        <w:jc w:val="both"/>
      </w:pPr>
      <w:r>
        <w:rPr>
          <w:rFonts w:ascii="Arial" w:cs="Arial" w:eastAsia="Arial" w:hAnsi="Arial"/>
          <w:sz w:val="22"/>
          <w:szCs w:val="22"/>
        </w:rPr>
        <w:t xml:space="preserve">Primary examples: benign tumors (unauthorized CRT of cell commitments with high CV₀ but insufficient control architecture to prevent growth, distinguished from malignant cancer which adds unauthorized JMP), cysts and polyps (unauthorized CRT without malignant transition), autoantibody production (unauthorized CRT of B cell commitments targeting self-antigens), pathological angiogenesis in tumor microenvironment (unauthorized CRT of vascular commitments by tumor signaling).</w:t>
      </w:r>
    </w:p>
    <w:p>
      <w:pPr>
        <w:pStyle w:val="Heading2"/>
        <w:spacing w:before="300" w:after="140"/>
      </w:pPr>
      <w:r>
        <w:rPr>
          <w:rFonts w:ascii="Arial" w:cs="Arial" w:eastAsia="Arial" w:hAnsi="Arial"/>
          <w:b/>
          <w:bCs/>
          <w:color w:val="2E75B6"/>
          <w:sz w:val="26"/>
          <w:szCs w:val="26"/>
        </w:rPr>
        <w:t xml:space="preserve">2.2 Axis II: Control Absence</w:t>
      </w:r>
    </w:p>
    <w:p>
      <w:pPr>
        <w:spacing w:before="100" w:after="100"/>
        <w:jc w:val="both"/>
      </w:pPr>
      <w:r>
        <w:rPr>
          <w:rFonts w:ascii="Arial" w:cs="Arial" w:eastAsia="Arial" w:hAnsi="Arial"/>
          <w:sz w:val="22"/>
          <w:szCs w:val="22"/>
        </w:rPr>
        <w:t xml:space="preserve">An Axis II disease arises from failure of the dual control architecture: generative control (TEST, NEGOTIATE, EXECUTE, VIOLATE) or governance control (MONITOR, HANDLE, SCRIBE, SECURE, MODULATE). Control failures do not directly cause the pathological operation — they remove the gate that would have prevented it or detected it. Axis II diseases are the upstream causes of many Axis I diseases.</w:t>
      </w:r>
    </w:p>
    <w:p>
      <w:pPr>
        <w:pStyle w:val="Heading3"/>
        <w:spacing w:before="220" w:after="100"/>
      </w:pPr>
      <w:r>
        <w:rPr>
          <w:rFonts w:ascii="Arial" w:cs="Arial" w:eastAsia="Arial" w:hAnsi="Arial"/>
          <w:b/>
          <w:bCs/>
          <w:color w:val="444444"/>
          <w:sz w:val="23"/>
          <w:szCs w:val="23"/>
        </w:rPr>
        <w:t xml:space="preserve">II-TEST: TEST Failure</w:t>
      </w:r>
    </w:p>
    <w:p>
      <w:pPr>
        <w:spacing w:before="100" w:after="100"/>
        <w:jc w:val="both"/>
      </w:pPr>
      <w:r>
        <w:rPr>
          <w:rFonts w:ascii="Arial" w:cs="Arial" w:eastAsia="Arial" w:hAnsi="Arial"/>
          <w:sz w:val="22"/>
          <w:szCs w:val="22"/>
        </w:rPr>
        <w:t xml:space="preserve">TEST evaluates ALL requirements before an operation executes: frame intersection, interaction mode, system resources, operation-specific constraints, resistance barriers, dependency validity. TEST failure means operations proceed without complete evaluation. The most biologically significant form is cell cycle checkpoint failure.</w:t>
      </w:r>
    </w:p>
    <w:p>
      <w:pPr>
        <w:spacing w:before="100" w:after="100"/>
        <w:jc w:val="both"/>
      </w:pPr>
      <w:r>
        <w:rPr>
          <w:rFonts w:ascii="Arial" w:cs="Arial" w:eastAsia="Arial" w:hAnsi="Arial"/>
          <w:sz w:val="22"/>
          <w:szCs w:val="22"/>
        </w:rPr>
        <w:t xml:space="preserve">Primary examples: Li-Fraumeni syndrome (p53 mutation — TEST’s primary evaluator for DNA damage; all cancers in this syndrome are TEST failures that permit unauthorized JUMP), Lynch syndrome (mismatch repair deficiency — TEST cannot evaluate DNA sequence integrity), ataxia-telangiectasia (ATM kinase deficiency — TEST cannot detect double-strand DNA breaks), Fanconi anemia (cross-link repair deficiency — TEST cannot detect interstrand DNA crosslinks), familial adenomatous polyposis (APC mutation — TEST cannot evaluate Wnt pathway activation).</w:t>
      </w:r>
    </w:p>
    <w:p>
      <w:pPr>
        <w:spacing w:before="100" w:after="100"/>
        <w:jc w:val="both"/>
      </w:pPr>
      <w:r>
        <w:rPr>
          <w:rFonts w:ascii="Arial" w:cs="Arial" w:eastAsia="Arial" w:hAnsi="Arial"/>
          <w:sz w:val="22"/>
          <w:szCs w:val="22"/>
        </w:rPr>
        <w:t xml:space="preserve">TEST failure is the upstream cause of most hereditary cancer syndromes: the mutation does not directly cause cancer. It removes the TEST function that would have prevented unauthorized JUMPs in somatic cells.</w:t>
      </w:r>
    </w:p>
    <w:p>
      <w:pPr>
        <w:pStyle w:val="Heading3"/>
        <w:spacing w:before="220" w:after="100"/>
      </w:pPr>
      <w:r>
        <w:rPr>
          <w:rFonts w:ascii="Arial" w:cs="Arial" w:eastAsia="Arial" w:hAnsi="Arial"/>
          <w:b/>
          <w:bCs/>
          <w:color w:val="444444"/>
          <w:sz w:val="23"/>
          <w:szCs w:val="23"/>
        </w:rPr>
        <w:t xml:space="preserve">II-MONITOR: MONITOR Failure</w:t>
      </w:r>
    </w:p>
    <w:p>
      <w:pPr>
        <w:spacing w:before="100" w:after="100"/>
        <w:jc w:val="both"/>
      </w:pPr>
      <w:r>
        <w:rPr>
          <w:rFonts w:ascii="Arial" w:cs="Arial" w:eastAsia="Arial" w:hAnsi="Arial"/>
          <w:sz w:val="22"/>
          <w:szCs w:val="22"/>
        </w:rPr>
        <w:t xml:space="preserve">MONITOR performs continuous passive surveillance of the commitment network, computes Fabric coordinates, detects threshold breaches, and provides resource information to TEST. MONITOR exists only when μ_sys ≥ μ_critical = 1/(2e) ≈ 0.184. Below this threshold, the system loses self-awareness capacity: it cannot detect its own degradation.</w:t>
      </w:r>
    </w:p>
    <w:p>
      <w:pPr>
        <w:spacing w:before="100" w:after="100"/>
        <w:jc w:val="both"/>
      </w:pPr>
      <w:r>
        <w:rPr>
          <w:rFonts w:ascii="Arial" w:cs="Arial" w:eastAsia="Arial" w:hAnsi="Arial"/>
          <w:sz w:val="22"/>
          <w:szCs w:val="22"/>
        </w:rPr>
        <w:t xml:space="preserve">II-MONITOR diseases are characterized by progressive loss of self-surveillance capacity, inability to trigger REPAIR when damage accumulates, and a self-reinforcing spiral: MONITOR failure → undetected damage → μ degradation → further MONITOR failure. This spiral is the CM mechanism of progressive disease — not linear deterioration but accelerating loss of the system’s ability to know it is deteriorating.</w:t>
      </w:r>
    </w:p>
    <w:p>
      <w:pPr>
        <w:spacing w:before="100" w:after="100"/>
        <w:jc w:val="both"/>
      </w:pPr>
      <w:r>
        <w:rPr>
          <w:rFonts w:ascii="Arial" w:cs="Arial" w:eastAsia="Arial" w:hAnsi="Arial"/>
          <w:sz w:val="22"/>
          <w:szCs w:val="22"/>
        </w:rPr>
        <w:t xml:space="preserve">Primary examples: primary immunodeficiency (immune MONITOR cannot detect pathogen invasion — HANDLE never triggered), severe combined immunodeficiency (complete absence of immune MONITOR), HIV/AIDS progression (virus progressively destroys CD4+ T cells — the immune system’s MONITOR substrate — until μ_sys &lt; μ_critical), advanced Alzheimer’s (neural MONITOR cannot detect or report own dysfunction), treatment-resistant depression (affective MONITOR unable to self-regulate emotional states).</w:t>
      </w:r>
    </w:p>
    <w:p>
      <w:pPr>
        <w:pStyle w:val="Heading3"/>
        <w:spacing w:before="220" w:after="100"/>
      </w:pPr>
      <w:r>
        <w:rPr>
          <w:rFonts w:ascii="Arial" w:cs="Arial" w:eastAsia="Arial" w:hAnsi="Arial"/>
          <w:b/>
          <w:bCs/>
          <w:color w:val="444444"/>
          <w:sz w:val="23"/>
          <w:szCs w:val="23"/>
        </w:rPr>
        <w:t xml:space="preserve">II-NEGOTIATE: NEGOTIATE Failure</w:t>
      </w:r>
    </w:p>
    <w:p>
      <w:pPr>
        <w:spacing w:before="100" w:after="100"/>
        <w:jc w:val="both"/>
      </w:pPr>
      <w:r>
        <w:rPr>
          <w:rFonts w:ascii="Arial" w:cs="Arial" w:eastAsia="Arial" w:hAnsi="Arial"/>
          <w:sz w:val="22"/>
          <w:szCs w:val="22"/>
        </w:rPr>
        <w:t xml:space="preserve">NEGOTIATE is invoked when TEST returns 0 (INCONCLUSIVE) — frames partially aligned, adjustment possible. It attempts to resolve ambiguity through iterative INC and ROT adjustments. NEGOTIATE failure means the system cannot resolve INCONCLUSIVE states and remains trapped in ℒ = 0 indefinitely or defaults to ℒ = −1 without adequate adjustment.</w:t>
      </w:r>
    </w:p>
    <w:p>
      <w:pPr>
        <w:spacing w:before="100" w:after="100"/>
        <w:jc w:val="both"/>
      </w:pPr>
      <w:r>
        <w:rPr>
          <w:rFonts w:ascii="Arial" w:cs="Arial" w:eastAsia="Arial" w:hAnsi="Arial"/>
          <w:sz w:val="22"/>
          <w:szCs w:val="22"/>
        </w:rPr>
        <w:t xml:space="preserve">Primary examples: chronic inflammation (immune system in permanent NEGOTIATE with tissue damage it cannot resolve to either ℒ = +1 (healed) or ℒ = −1 (resolved)), allergic disease (NEGOTIATE between immune system and non-threatening antigen never converges to ℒ = −1), irritable bowel syndrome (gut-brain NEGOTIATE permanently INCONCLUSIVE), treatment-resistant anxiety disorders (threat evaluation NEGOTIATE cannot converge), certain chronic pain conditions (nociceptive NEGOTIATE permanently unresolved producing central sensitization).</w:t>
      </w:r>
    </w:p>
    <w:p>
      <w:pPr>
        <w:pStyle w:val="Heading3"/>
        <w:spacing w:before="220" w:after="100"/>
      </w:pPr>
      <w:r>
        <w:rPr>
          <w:rFonts w:ascii="Arial" w:cs="Arial" w:eastAsia="Arial" w:hAnsi="Arial"/>
          <w:b/>
          <w:bCs/>
          <w:color w:val="444444"/>
          <w:sz w:val="23"/>
          <w:szCs w:val="23"/>
        </w:rPr>
        <w:t xml:space="preserve">II-SCRIBE: Memory Regulation Failure</w:t>
      </w:r>
    </w:p>
    <w:p>
      <w:pPr>
        <w:spacing w:before="100" w:after="100"/>
        <w:jc w:val="both"/>
      </w:pPr>
      <w:r>
        <w:rPr>
          <w:rFonts w:ascii="Arial" w:cs="Arial" w:eastAsia="Arial" w:hAnsi="Arial"/>
          <w:sz w:val="22"/>
          <w:szCs w:val="22"/>
        </w:rPr>
        <w:t xml:space="preserve">SCRIBE maintains memory fidelity μ through consolidation, record maintenance, and verification. SCRIBE failure allows μ to degrade below μ_critical, destroying MONITOR capacity. Biological SCRIBE functions include DNA repair maintaining genomic memory, epigenetic maintenance preserving transcriptional state, and neural consolidation preserving learned patterns.</w:t>
      </w:r>
    </w:p>
    <w:p>
      <w:pPr>
        <w:spacing w:before="100" w:after="100"/>
        <w:jc w:val="both"/>
      </w:pPr>
      <w:r>
        <w:rPr>
          <w:rFonts w:ascii="Arial" w:cs="Arial" w:eastAsia="Arial" w:hAnsi="Arial"/>
          <w:sz w:val="22"/>
          <w:szCs w:val="22"/>
        </w:rPr>
        <w:t xml:space="preserve">Primary examples: Alzheimer’s disease (tau and amyloid pathology disrupt synaptic SCRIBE — network memory degrades below μ_critical), frontotemporal dementia (TDP-43 and FUS pathology — SCRIBE substrates — directly disrupted), Werner syndrome (WRN helicase deficiency — genomic SCRIBE failure producing accelerated aging), progeria (LMNA mutation — nuclear lamina SCRIBE failure), post-traumatic stress disorder (traumatic SCRIBE overconsolidation producing pathological memory fidelity — opposite failure: μ too high for specific trauma memories without integration into network).</w:t>
      </w:r>
    </w:p>
    <w:p>
      <w:pPr>
        <w:pStyle w:val="Heading3"/>
        <w:spacing w:before="220" w:after="100"/>
      </w:pPr>
      <w:r>
        <w:rPr>
          <w:rFonts w:ascii="Arial" w:cs="Arial" w:eastAsia="Arial" w:hAnsi="Arial"/>
          <w:b/>
          <w:bCs/>
          <w:color w:val="444444"/>
          <w:sz w:val="23"/>
          <w:szCs w:val="23"/>
        </w:rPr>
        <w:t xml:space="preserve">II-SECURE: Defense Regulation Failure</w:t>
      </w:r>
    </w:p>
    <w:p>
      <w:pPr>
        <w:spacing w:before="100" w:after="100"/>
        <w:jc w:val="both"/>
      </w:pPr>
      <w:r>
        <w:rPr>
          <w:rFonts w:ascii="Arial" w:cs="Arial" w:eastAsia="Arial" w:hAnsi="Arial"/>
          <w:sz w:val="22"/>
          <w:szCs w:val="22"/>
        </w:rPr>
        <w:t xml:space="preserve">SECURE maintains structural coherence D through boundary reinforcement and resistance management. SECURE failure allows D to degrade, making the system vulnerable to COERCE intrusions and reducing its resistance to unauthorized operations.</w:t>
      </w:r>
    </w:p>
    <w:p>
      <w:pPr>
        <w:spacing w:before="100" w:after="100"/>
        <w:jc w:val="both"/>
      </w:pPr>
      <w:r>
        <w:rPr>
          <w:rFonts w:ascii="Arial" w:cs="Arial" w:eastAsia="Arial" w:hAnsi="Arial"/>
          <w:sz w:val="22"/>
          <w:szCs w:val="22"/>
        </w:rPr>
        <w:t xml:space="preserve">Primary examples: Ehlers-Danlos syndrome (collagen structural deficiency — connective tissue SECURE failure), Marfan syndrome (fibrillin-1 deficiency — extracellular matrix SECURE failure), osteogenesis imperfecta (collagen synthesis defect — bone SECURE failure), epidermolysis bullosa (keratin and anchoring fibril defects — skin SECURE failure), leaky gut syndrome (intestinal epithelial barrier SECURE degradation allowing pathogen COERCE), blood-brain barrier breakdown in neuroinflammatory disease.</w:t>
      </w:r>
    </w:p>
    <w:p>
      <w:pPr>
        <w:pStyle w:val="Heading3"/>
        <w:spacing w:before="220" w:after="100"/>
      </w:pPr>
      <w:r>
        <w:rPr>
          <w:rFonts w:ascii="Arial" w:cs="Arial" w:eastAsia="Arial" w:hAnsi="Arial"/>
          <w:b/>
          <w:bCs/>
          <w:color w:val="444444"/>
          <w:sz w:val="23"/>
          <w:szCs w:val="23"/>
        </w:rPr>
        <w:t xml:space="preserve">II-MODULATE: Pulse Regulation Failure</w:t>
      </w:r>
    </w:p>
    <w:p>
      <w:pPr>
        <w:spacing w:before="100" w:after="100"/>
        <w:jc w:val="both"/>
      </w:pPr>
      <w:r>
        <w:rPr>
          <w:rFonts w:ascii="Arial" w:cs="Arial" w:eastAsia="Arial" w:hAnsi="Arial"/>
          <w:sz w:val="22"/>
          <w:szCs w:val="22"/>
        </w:rPr>
        <w:t xml:space="preserve">MODULATE maintains energetic balance λ through allocation, tempo regulation, and excitation control. MODULATE failure produces either λ runaway (hyperactivation) or λ depletion (exhaustion). Since λ appears in the denominator of the generativity formula Gen = GμD/(1+λ), λ runaway reduces generative capacity catastrophically even when D and μ are high.</w:t>
      </w:r>
    </w:p>
    <w:p>
      <w:pPr>
        <w:spacing w:before="100" w:after="100"/>
        <w:jc w:val="both"/>
      </w:pPr>
      <w:r>
        <w:rPr>
          <w:rFonts w:ascii="Arial" w:cs="Arial" w:eastAsia="Arial" w:hAnsi="Arial"/>
          <w:sz w:val="22"/>
          <w:szCs w:val="22"/>
        </w:rPr>
        <w:t xml:space="preserve">Primary examples: bipolar disorder (MODULATE failure producing λ cycling between runaway (mania) and depletion (depression)), sepsis (systemic MODULATE failure producing cytokine λ runaway), burnout and chronic fatigue syndrome (λ depletion through sustained over-extraction without MODULATE restoration), hyperthyroidism (λ runaway through thyroid hormone excess), cytokine storm syndromes (IL-6 and TNF-α produce λ cascade past MODULATE capacity).</w:t>
      </w:r>
    </w:p>
    <w:p>
      <w:pPr>
        <w:pStyle w:val="Heading2"/>
        <w:spacing w:before="300" w:after="140"/>
      </w:pPr>
      <w:r>
        <w:rPr>
          <w:rFonts w:ascii="Arial" w:cs="Arial" w:eastAsia="Arial" w:hAnsi="Arial"/>
          <w:b/>
          <w:bCs/>
          <w:color w:val="2E75B6"/>
          <w:sz w:val="26"/>
          <w:szCs w:val="26"/>
        </w:rPr>
        <w:t xml:space="preserve">2.3 Axis III: Fabric Degradation</w:t>
      </w:r>
    </w:p>
    <w:p>
      <w:pPr>
        <w:spacing w:before="100" w:after="100"/>
        <w:jc w:val="both"/>
      </w:pPr>
      <w:r>
        <w:rPr>
          <w:rFonts w:ascii="Arial" w:cs="Arial" w:eastAsia="Arial" w:hAnsi="Arial"/>
          <w:sz w:val="22"/>
          <w:szCs w:val="22"/>
        </w:rPr>
        <w:t xml:space="preserve">An Axis III disease arises when one or more Fabric coordinates (D, μ, λ) persistently deviate from viable ranges. Unlike Axis I diseases (which describe specific operations failing) and Axis II diseases (which describe control mechanisms failing), Axis III diseases describe the resulting state of the Fabric itself. Many Axis I and II diseases produce Axis III consequences; some diseases are primarily defined by their Fabric coordinate.</w:t>
      </w:r>
    </w:p>
    <w:p>
      <w:pPr>
        <w:pStyle w:val="Heading3"/>
        <w:spacing w:before="220" w:after="100"/>
      </w:pPr>
      <w:r>
        <w:rPr>
          <w:rFonts w:ascii="Arial" w:cs="Arial" w:eastAsia="Arial" w:hAnsi="Arial"/>
          <w:b/>
          <w:bCs/>
          <w:color w:val="444444"/>
          <w:sz w:val="23"/>
          <w:szCs w:val="23"/>
        </w:rPr>
        <w:t xml:space="preserve">III-D: Defense Degradation</w:t>
      </w:r>
    </w:p>
    <w:p>
      <w:pPr>
        <w:spacing w:before="100" w:after="100"/>
        <w:jc w:val="both"/>
      </w:pPr>
      <w:r>
        <w:rPr>
          <w:rFonts w:ascii="Arial" w:cs="Arial" w:eastAsia="Arial" w:hAnsi="Arial"/>
          <w:sz w:val="22"/>
          <w:szCs w:val="22"/>
        </w:rPr>
        <w:t xml:space="preserve">Low D means structural coherence is insufficient to maintain the commitment’s identity under perturbation. The commitment cannot resist unauthorized operations. Resistance coefficient ρ → 0, making the system maximally permeable to COERCE, VIOLATE, and unauthorized JUMP.</w:t>
      </w:r>
    </w:p>
    <w:p>
      <w:pPr>
        <w:spacing w:before="100" w:after="100"/>
        <w:jc w:val="both"/>
      </w:pPr>
      <w:r>
        <w:rPr>
          <w:rFonts w:ascii="Arial" w:cs="Arial" w:eastAsia="Arial" w:hAnsi="Arial"/>
          <w:sz w:val="22"/>
          <w:szCs w:val="22"/>
        </w:rPr>
        <w:t xml:space="preserve">Diseases primarily defined by low D: connective tissue disorders (Axis II-SECURE with Axis III-D consequence), immunosuppression-associated infections (D degraded through chemotherapy, HIV, or immunosuppressive drugs; infections succeed because COERCE resistance is removed), post-surgical wound complications (local D degradation creates vulnerability window), radiation-induced tissue damage (ionizing radiation directly degrades D through structural disruption).</w:t>
      </w:r>
    </w:p>
    <w:p>
      <w:pPr>
        <w:pStyle w:val="Heading3"/>
        <w:spacing w:before="220" w:after="100"/>
      </w:pPr>
      <w:r>
        <w:rPr>
          <w:rFonts w:ascii="Arial" w:cs="Arial" w:eastAsia="Arial" w:hAnsi="Arial"/>
          <w:b/>
          <w:bCs/>
          <w:color w:val="444444"/>
          <w:sz w:val="23"/>
          <w:szCs w:val="23"/>
        </w:rPr>
        <w:t xml:space="preserve">III-μ: Memory Degradation</w:t>
      </w:r>
    </w:p>
    <w:p>
      <w:pPr>
        <w:spacing w:before="100" w:after="100"/>
        <w:jc w:val="both"/>
      </w:pPr>
      <w:r>
        <w:rPr>
          <w:rFonts w:ascii="Arial" w:cs="Arial" w:eastAsia="Arial" w:hAnsi="Arial"/>
          <w:sz w:val="22"/>
          <w:szCs w:val="22"/>
        </w:rPr>
        <w:t xml:space="preserve">Low μ means information fidelity is insufficient to maintain the commitment’s identity and its relationships with other commitments. When μ &lt; μ_critical, MONITOR ceases to exist. The system cannot know itself. The generativity formula Gen = GμD/(1+λ) shows that μ degradation reduces generativity proportionally — and the conservation term -k_μ(1-μ)Ψ penalizes generative potential precisely when μ is low. Low μ is both a disease state and an amplifier of all other pathologies.</w:t>
      </w:r>
    </w:p>
    <w:p>
      <w:pPr>
        <w:spacing w:before="100" w:after="100"/>
        <w:jc w:val="both"/>
      </w:pPr>
      <w:r>
        <w:rPr>
          <w:rFonts w:ascii="Arial" w:cs="Arial" w:eastAsia="Arial" w:hAnsi="Arial"/>
          <w:sz w:val="22"/>
          <w:szCs w:val="22"/>
        </w:rPr>
        <w:t xml:space="preserve">Diseases primarily defined by low μ: all dementias in their final stages (Alzheimer’s, vascular dementia, Lewy body dementia — μ degradation drives the clinical picture), advanced cancer (tumor cells lose epigenetic μ — poorly differentiated tumors reflect μ near zero), prion diseases (misfolded proteins directly degrade μ of the surrounding protein network), HIV encephalopathy (viral DECEIVE operation specifically targeting neural μ), certain lysosomal storage disorders (accumulated substrate degrades cellular memory fidelity).</w:t>
      </w:r>
    </w:p>
    <w:p>
      <w:pPr>
        <w:pStyle w:val="Heading3"/>
        <w:spacing w:before="220" w:after="100"/>
      </w:pPr>
      <w:r>
        <w:rPr>
          <w:rFonts w:ascii="Arial" w:cs="Arial" w:eastAsia="Arial" w:hAnsi="Arial"/>
          <w:b/>
          <w:bCs/>
          <w:color w:val="444444"/>
          <w:sz w:val="23"/>
          <w:szCs w:val="23"/>
        </w:rPr>
        <w:t xml:space="preserve">III-λ: Pulse Dysregulation</w:t>
      </w:r>
    </w:p>
    <w:p>
      <w:pPr>
        <w:spacing w:before="100" w:after="100"/>
        <w:jc w:val="both"/>
      </w:pPr>
      <w:r>
        <w:rPr>
          <w:rFonts w:ascii="Arial" w:cs="Arial" w:eastAsia="Arial" w:hAnsi="Arial"/>
          <w:sz w:val="22"/>
          <w:szCs w:val="22"/>
        </w:rPr>
        <w:t xml:space="preserve">Abnormal λ — either above or below the viable range — disrupts the energetic balance required for sustainable operations. High λ produces excitation beyond what D can contain (instability, seizure, inflammation cascade). Low λ produces insufficient energy for required operations (exhaustion, organ failure, apoptosis). The Defensive Memory vertex (D=1, μ=1, λ=0) is the only permanently stable state: λ → 0 is the attractor for sustainable health.</w:t>
      </w:r>
    </w:p>
    <w:p>
      <w:pPr>
        <w:spacing w:before="100" w:after="100"/>
        <w:jc w:val="both"/>
      </w:pPr>
      <w:r>
        <w:rPr>
          <w:rFonts w:ascii="Arial" w:cs="Arial" w:eastAsia="Arial" w:hAnsi="Arial"/>
          <w:sz w:val="22"/>
          <w:szCs w:val="22"/>
        </w:rPr>
        <w:t xml:space="preserve">High λ diseases: epilepsy (λ runaway in neural networks), inflammatory bowel disease (mucosal λ chronically elevated), psoriasis (keratinocyte λ elevated through immune signaling), chronic pain (nociceptive λ elevated through central sensitization), manic episodes in bipolar disorder, acute asthma (airway smooth muscle λ runaway).</w:t>
      </w:r>
    </w:p>
    <w:p>
      <w:pPr>
        <w:spacing w:before="100" w:after="100"/>
        <w:jc w:val="both"/>
      </w:pPr>
      <w:r>
        <w:rPr>
          <w:rFonts w:ascii="Arial" w:cs="Arial" w:eastAsia="Arial" w:hAnsi="Arial"/>
          <w:sz w:val="22"/>
          <w:szCs w:val="22"/>
        </w:rPr>
        <w:t xml:space="preserve">Low λ diseases: hypothyroidism (λ depletion through thyroid hormone insufficiency), adrenal insufficiency (cortisol-mediated λ regulation absent), heart failure with reduced ejection fraction (cardiac λ depleted through myocyte loss), chronic fatigue syndrome/ME (λ depletion despite normal D and μ — the system holds its structure but cannot activate), catatonia (severe λ depletion in motor systems).</w:t>
      </w:r>
    </w:p>
    <w:p>
      <w:pPr>
        <w:pStyle w:val="Heading2"/>
        <w:spacing w:before="300" w:after="140"/>
      </w:pPr>
      <w:r>
        <w:rPr>
          <w:rFonts w:ascii="Arial" w:cs="Arial" w:eastAsia="Arial" w:hAnsi="Arial"/>
          <w:b/>
          <w:bCs/>
          <w:color w:val="2E75B6"/>
          <w:sz w:val="26"/>
          <w:szCs w:val="26"/>
        </w:rPr>
        <w:t xml:space="preserve">2.4 Axis IV: Adversarial Intrusion</w:t>
      </w:r>
    </w:p>
    <w:p>
      <w:pPr>
        <w:spacing w:before="100" w:after="100"/>
        <w:jc w:val="both"/>
      </w:pPr>
      <w:r>
        <w:rPr>
          <w:rFonts w:ascii="Arial" w:cs="Arial" w:eastAsia="Arial" w:hAnsi="Arial"/>
          <w:sz w:val="22"/>
          <w:szCs w:val="22"/>
        </w:rPr>
        <w:t xml:space="preserve">An Axis IV disease arises from an external adversarial intrusion (Definition 4.4, CM v4.0): COERCE, DECEIVE, EXTRACT, or SABOTAGE. Unlike Axis I diseases (internal operation failure) and Axis II diseases (internal control failure), Axis IV diseases originate outside the system boundary. The system’s defenses are overcome by an external agent with the specific intent (functional, not cognitive) to disrupt, corrupt, extract from, or seize control of the host commitment network.</w:t>
      </w:r>
    </w:p>
    <w:p>
      <w:pPr>
        <w:pStyle w:val="Heading3"/>
        <w:spacing w:before="220" w:after="100"/>
      </w:pPr>
      <w:r>
        <w:rPr>
          <w:rFonts w:ascii="Arial" w:cs="Arial" w:eastAsia="Arial" w:hAnsi="Arial"/>
          <w:b/>
          <w:bCs/>
          <w:color w:val="444444"/>
          <w:sz w:val="23"/>
          <w:szCs w:val="23"/>
        </w:rPr>
        <w:t xml:space="preserve">IV-COERCE: External Force Diseases</w:t>
      </w:r>
    </w:p>
    <w:p>
      <w:pPr>
        <w:spacing w:before="100" w:after="100"/>
        <w:jc w:val="both"/>
      </w:pPr>
      <w:r>
        <w:rPr>
          <w:rFonts w:ascii="Arial" w:cs="Arial" w:eastAsia="Arial" w:hAnsi="Arial"/>
          <w:sz w:val="22"/>
          <w:szCs w:val="22"/>
        </w:rPr>
        <w:t xml:space="preserve">COERCE overcomes the bound system’s D through external force, with damage formula ΔDamage_coerce = k_c · f_ext · (1 + (1-D)) (greater damage when D is already low). Unlike internal VIOLATE, COERCE is imposed from outside system boundaries. SECURE defends against COERCE by reinforcing D and increasing resistance thresholds.</w:t>
      </w:r>
    </w:p>
    <w:p>
      <w:pPr>
        <w:spacing w:before="100" w:after="100"/>
        <w:jc w:val="both"/>
      </w:pPr>
      <w:r>
        <w:rPr>
          <w:rFonts w:ascii="Arial" w:cs="Arial" w:eastAsia="Arial" w:hAnsi="Arial"/>
          <w:sz w:val="22"/>
          <w:szCs w:val="22"/>
        </w:rPr>
        <w:t xml:space="preserve">Primary examples: bacterial infection (pathogen COERCE overcomes mucosal, skin, and immune D barriers), physical trauma (mechanical force directly reduces D through structural disruption), ionizing radiation (photon and particle COERCE directly damages DNA — nuclear D), burn injury (thermal COERCE degrades skin boundary D), pressure injury/decubitus ulcer (sustained mechanical COERCE on tissue with insufficient SECURE defense).</w:t>
      </w:r>
    </w:p>
    <w:p>
      <w:pPr>
        <w:spacing w:before="100" w:after="100"/>
        <w:jc w:val="both"/>
      </w:pPr>
      <w:r>
        <w:rPr>
          <w:rFonts w:ascii="Arial" w:cs="Arial" w:eastAsia="Arial" w:hAnsi="Arial"/>
          <w:sz w:val="22"/>
          <w:szCs w:val="22"/>
        </w:rPr>
        <w:t xml:space="preserve">COERCE severity scales with f_ext and inversely with D: a healthy immune barrier (high D) resists bacterial COERCE; an immunocompromised barrier (low D) is overcome by organisms that would be harmless to the healthy host. This explains opportunistic infection: the same pathogen that is COERCE-rejected by a healthy host achieves COERCE-success in a host with degraded D.</w:t>
      </w:r>
    </w:p>
    <w:p>
      <w:pPr>
        <w:pStyle w:val="Heading3"/>
        <w:spacing w:before="220" w:after="100"/>
      </w:pPr>
      <w:r>
        <w:rPr>
          <w:rFonts w:ascii="Arial" w:cs="Arial" w:eastAsia="Arial" w:hAnsi="Arial"/>
          <w:b/>
          <w:bCs/>
          <w:color w:val="444444"/>
          <w:sz w:val="23"/>
          <w:szCs w:val="23"/>
        </w:rPr>
        <w:t xml:space="preserve">IV-DECEIVE: Information Corruption Diseases</w:t>
      </w:r>
    </w:p>
    <w:p>
      <w:pPr>
        <w:spacing w:before="100" w:after="100"/>
        <w:jc w:val="both"/>
      </w:pPr>
      <w:r>
        <w:rPr>
          <w:rFonts w:ascii="Arial" w:cs="Arial" w:eastAsia="Arial" w:hAnsi="Arial"/>
          <w:sz w:val="22"/>
          <w:szCs w:val="22"/>
        </w:rPr>
        <w:t xml:space="preserve">DECEIVE corrupts μ — what the system remembers as true. Mechanisms include false injection (μ ← μ + Δμ_false with corrupted content), memory erasure (selective μ degradation), history rewriting (altering commitment records retroactively), and phantom creation (injecting commitments that never legitimately existed). Effectiveness scales with existing μ degradation: p_deceive = e^(-ln2·μ). SCRIBE defends against DECEIVE through verification and consolidation.</w:t>
      </w:r>
    </w:p>
    <w:p>
      <w:pPr>
        <w:spacing w:before="100" w:after="100"/>
        <w:jc w:val="both"/>
      </w:pPr>
      <w:r>
        <w:rPr>
          <w:rFonts w:ascii="Arial" w:cs="Arial" w:eastAsia="Arial" w:hAnsi="Arial"/>
          <w:sz w:val="22"/>
          <w:szCs w:val="22"/>
        </w:rPr>
        <w:t xml:space="preserve">Primary examples: viral infection (virus injects false genomic instructions — RNA viruses directly corrupt cellular memory substrate), oncovirus (HPV E6/E7, EBV LMP1, HTLV-1 Tax inject false epigenetic instructions that rewrite cell identity), prion disease (misfolded protein acts as DECEIVE carrier, converting normal protein to misfolded form — the cellular memory of protein conformation is corrupted), HIV (virus inserts false proviral DNA into genome, creating permanent phantom commitment), epigenetic reprogramming by tumor-derived exosomes (field cancerization as DECEIVE at tissue scale).</w:t>
      </w:r>
    </w:p>
    <w:p>
      <w:pPr>
        <w:spacing w:before="100" w:after="100"/>
        <w:jc w:val="both"/>
      </w:pPr>
      <w:r>
        <w:rPr>
          <w:rFonts w:ascii="Arial" w:cs="Arial" w:eastAsia="Arial" w:hAnsi="Arial"/>
          <w:sz w:val="22"/>
          <w:szCs w:val="22"/>
        </w:rPr>
        <w:t xml:space="preserve">The distinguishing feature of DECEIVE diseases: the system is functioning but operating on corrupted information. It executes operations correctly against the wrong targets or in response to false signals. The pathology is not malfunction but correct function of a corrupted program.</w:t>
      </w:r>
    </w:p>
    <w:p>
      <w:pPr>
        <w:pStyle w:val="Heading3"/>
        <w:spacing w:before="220" w:after="100"/>
      </w:pPr>
      <w:r>
        <w:rPr>
          <w:rFonts w:ascii="Arial" w:cs="Arial" w:eastAsia="Arial" w:hAnsi="Arial"/>
          <w:b/>
          <w:bCs/>
          <w:color w:val="444444"/>
          <w:sz w:val="23"/>
          <w:szCs w:val="23"/>
        </w:rPr>
        <w:t xml:space="preserve">IV-EXTRACT: Resource Depletion Diseases</w:t>
      </w:r>
    </w:p>
    <w:p>
      <w:pPr>
        <w:spacing w:before="100" w:after="100"/>
        <w:jc w:val="both"/>
      </w:pPr>
      <w:r>
        <w:rPr>
          <w:rFonts w:ascii="Arial" w:cs="Arial" w:eastAsia="Arial" w:hAnsi="Arial"/>
          <w:sz w:val="22"/>
          <w:szCs w:val="22"/>
        </w:rPr>
        <w:t xml:space="preserve">EXTRACT drains λ (Pulse) and Compensation without reciprocity, leaving the system depleted. Mechanisms include pulse drain (λ ← λ · (1-x) where x is extraction rate), compensation siphoning, and continuous λ extraction until exhaustion. MODULATE defends against EXTRACT by regulating λ reserves. After extraction: λ_post = λ_pre · e^(-ln2·t_extract).</w:t>
      </w:r>
    </w:p>
    <w:p>
      <w:pPr>
        <w:spacing w:before="100" w:after="100"/>
        <w:jc w:val="both"/>
      </w:pPr>
      <w:r>
        <w:rPr>
          <w:rFonts w:ascii="Arial" w:cs="Arial" w:eastAsia="Arial" w:hAnsi="Arial"/>
          <w:sz w:val="22"/>
          <w:szCs w:val="22"/>
        </w:rPr>
        <w:t xml:space="preserve">Primary examples: parasitic infection (helminthes, plasmodium, trypanosomes — all perform EXTRACT against host energy, nutrients, and immune resources), cachexia in cancer (tumor performs EXTRACT on host metabolic resources through cytokine-mediated catabolism), chronic infection-associated anemia (pathogen EXTRACT depletes iron and erythropoietic reserves), autoimmune hemolytic anemia (self-targeted EXTRACT destroys red blood cells), cardiac EXTRACT in high-output failure (peripheral arteriovenous shunts extract cardiac output beyond MODULATE capacity).</w:t>
      </w:r>
    </w:p>
    <w:p>
      <w:pPr>
        <w:pStyle w:val="Heading3"/>
        <w:spacing w:before="220" w:after="100"/>
      </w:pPr>
      <w:r>
        <w:rPr>
          <w:rFonts w:ascii="Arial" w:cs="Arial" w:eastAsia="Arial" w:hAnsi="Arial"/>
          <w:b/>
          <w:bCs/>
          <w:color w:val="444444"/>
          <w:sz w:val="23"/>
          <w:szCs w:val="23"/>
        </w:rPr>
        <w:t xml:space="preserve">IV-SABOTAGE: Operation Disruption Diseases</w:t>
      </w:r>
    </w:p>
    <w:p>
      <w:pPr>
        <w:spacing w:before="100" w:after="100"/>
        <w:jc w:val="both"/>
      </w:pPr>
      <w:r>
        <w:rPr>
          <w:rFonts w:ascii="Arial" w:cs="Arial" w:eastAsia="Arial" w:hAnsi="Arial"/>
          <w:sz w:val="22"/>
          <w:szCs w:val="22"/>
        </w:rPr>
        <w:t xml:space="preserve">SABOTAGE targets operations during EXECUTE: ABORT (terminates operations in progress), MISDIRECT (alters operation paths), DELAY (amplifies λ producing timing disruption), CORRUPT (degrades CV during execution), HIJACK (seizes control of an operation for the adversary’s purposes). Unlike COERCE (which attacks D directly) and DECEIVE (which attacks μ), SABOTAGE attacks the operation itself while it is executing. MONITOR and HANDLE defend against SABOTAGE.</w:t>
      </w:r>
    </w:p>
    <w:p>
      <w:pPr>
        <w:spacing w:before="100" w:after="100"/>
        <w:jc w:val="both"/>
      </w:pPr>
      <w:r>
        <w:rPr>
          <w:rFonts w:ascii="Arial" w:cs="Arial" w:eastAsia="Arial" w:hAnsi="Arial"/>
          <w:sz w:val="22"/>
          <w:szCs w:val="22"/>
        </w:rPr>
        <w:t xml:space="preserve">Primary examples: botulinum toxin poisoning (SABOTAGE of acetylcholine EXECUTE at neuromuscular junction — ABORT mechanism), tetanus (SABOTAGE of inhibitory neurotransmitter EXECUTE producing DELAY/runaway excitation), autoimmune disease as SABOTAGE (targeting specific molecular operations: myasthenia gravis SABOTAGES acetylcholine receptor EXECUTE; Graves’ disease HIJACKS TSH receptor), drug-induced arrhythmia (pharmacological SABOTAGE of ion channel EXECUTE timing), organophosphate poisoning (acetylcholinesterase SABOTAGE prevents ACh EXECUTE termination).</w:t>
      </w:r>
    </w:p>
    <w:p>
      <w:pPr>
        <w:pStyle w:val="Heading2"/>
        <w:spacing w:before="300" w:after="140"/>
      </w:pPr>
      <w:r>
        <w:rPr>
          <w:rFonts w:ascii="Arial" w:cs="Arial" w:eastAsia="Arial" w:hAnsi="Arial"/>
          <w:b/>
          <w:bCs/>
          <w:color w:val="2E75B6"/>
          <w:sz w:val="26"/>
          <w:szCs w:val="26"/>
        </w:rPr>
        <w:t xml:space="preserve">2.5 Axis V: Initialization Defect</w:t>
      </w:r>
    </w:p>
    <w:p>
      <w:pPr>
        <w:spacing w:before="100" w:after="100"/>
        <w:jc w:val="both"/>
      </w:pPr>
      <w:r>
        <w:rPr>
          <w:rFonts w:ascii="Arial" w:cs="Arial" w:eastAsia="Arial" w:hAnsi="Arial"/>
          <w:sz w:val="22"/>
          <w:szCs w:val="22"/>
        </w:rPr>
        <w:t xml:space="preserve">An Axis V disease arises from a malformed CRT: the commitment is initialized with incorrect CV₀, incorrect anchor parameters (V₀, A₀, T₀), incorrect bilateral agreement, or incorrect dependency placement. Unlike the other axes (which describe failures in operating commitments), Axis V diseases originate at the moment of creation. The commitment has never operated correctly because it was never correctly initialized.</w:t>
      </w:r>
    </w:p>
    <w:p>
      <w:pPr>
        <w:spacing w:before="100" w:after="100"/>
        <w:jc w:val="both"/>
      </w:pPr>
      <w:r>
        <w:rPr>
          <w:rFonts w:ascii="Arial" w:cs="Arial" w:eastAsia="Arial" w:hAnsi="Arial"/>
          <w:sz w:val="22"/>
          <w:szCs w:val="22"/>
        </w:rPr>
        <w:t xml:space="preserve">CRT requires bilateral agreement between L and H, initial viability (CV₀ &gt; 0 and (V₀, A₀, T₀) ∈ [0,1]³), available capacity, and MONITOR confirmation of system resources. An Axis V disease violates one or more of these initialization conditions.</w:t>
      </w:r>
    </w:p>
    <w:p>
      <w:pPr>
        <w:spacing w:before="100" w:after="100"/>
        <w:jc w:val="both"/>
      </w:pPr>
      <w:r>
        <w:rPr>
          <w:rFonts w:ascii="Arial" w:cs="Arial" w:eastAsia="Arial" w:hAnsi="Arial"/>
          <w:sz w:val="22"/>
          <w:szCs w:val="22"/>
        </w:rPr>
        <w:t xml:space="preserve">Sub-axes of Axis V:</w:t>
      </w:r>
    </w:p>
    <w:p>
      <w:pPr>
        <w:pStyle w:val="ListParagraph"/>
        <w:numPr>
          <w:ilvl w:val="0"/>
          <w:numId w:val="2"/>
        </w:numPr>
        <w:spacing w:before="80" w:after="80"/>
      </w:pPr>
      <w:r>
        <w:rPr>
          <w:rFonts w:ascii="Arial" w:cs="Arial" w:eastAsia="Arial" w:hAnsi="Arial"/>
          <w:sz w:val="22"/>
          <w:szCs w:val="22"/>
        </w:rPr>
        <w:t xml:space="preserve">V-CV₀: incorrect base value initialization. The commitment’s CV₀ is set above or below the viable range for its role in the network. Trisomies: Down syndrome (trisomy 21), Patau syndrome (trisomy 13), Edwards syndrome (trisomy 18) — gene dosage creates CV₀ imbalance across hundreds of commitments simultaneously. Monosomies: Turner syndrome (45,X) — CV₀ deficit in sexual development commitments.</w:t>
      </w:r>
    </w:p>
    <w:p>
      <w:pPr>
        <w:pStyle w:val="ListParagraph"/>
        <w:numPr>
          <w:ilvl w:val="0"/>
          <w:numId w:val="2"/>
        </w:numPr>
        <w:spacing w:before="80" w:after="80"/>
      </w:pPr>
      <w:r>
        <w:rPr>
          <w:rFonts w:ascii="Arial" w:cs="Arial" w:eastAsia="Arial" w:hAnsi="Arial"/>
          <w:sz w:val="22"/>
          <w:szCs w:val="22"/>
        </w:rPr>
        <w:t xml:space="preserve">V-V (Visibility defect): the commitment is initialized with V ≈ 0, preventing its value from being accessed. Cystic fibrosis (CFTR protein misfolds and is degraded before reaching the cell surface: V → 0 for chloride channel commitment). Phenylketonuria (phenylalanine hydroxylase has reduced V due to misfolding).</w:t>
      </w:r>
    </w:p>
    <w:p>
      <w:pPr>
        <w:pStyle w:val="ListParagraph"/>
        <w:numPr>
          <w:ilvl w:val="0"/>
          <w:numId w:val="2"/>
        </w:numPr>
        <w:spacing w:before="80" w:after="80"/>
      </w:pPr>
      <w:r>
        <w:rPr>
          <w:rFonts w:ascii="Arial" w:cs="Arial" w:eastAsia="Arial" w:hAnsi="Arial"/>
          <w:sz w:val="22"/>
          <w:szCs w:val="22"/>
        </w:rPr>
        <w:t xml:space="preserve">V-A (Assurance defect): the commitment is initialized with A too low to maintain structural coherence. Osteogenesis imperfecta (collagen assembly defect — V-A: structural commitments initialized with insufficient A). Marfan syndrome (fibrillin-1 defect — V-A in extracellular matrix commitments).</w:t>
      </w:r>
    </w:p>
    <w:p>
      <w:pPr>
        <w:pStyle w:val="ListParagraph"/>
        <w:numPr>
          <w:ilvl w:val="0"/>
          <w:numId w:val="2"/>
        </w:numPr>
        <w:spacing w:before="80" w:after="80"/>
      </w:pPr>
      <w:r>
        <w:rPr>
          <w:rFonts w:ascii="Arial" w:cs="Arial" w:eastAsia="Arial" w:hAnsi="Arial"/>
          <w:sz w:val="22"/>
          <w:szCs w:val="22"/>
        </w:rPr>
        <w:t xml:space="preserve">V-T (Transferability defect): the commitment is initialized with T outside the viable range. Hemophilia A and B (coagulation factor VIII/IX deficiency: T → 0 for clot propagation commitment — cascade cannot proceed). Von Willebrand disease (primary hemostasis T → 0).</w:t>
      </w:r>
    </w:p>
    <w:p>
      <w:pPr>
        <w:pStyle w:val="ListParagraph"/>
        <w:numPr>
          <w:ilvl w:val="0"/>
          <w:numId w:val="2"/>
        </w:numPr>
        <w:spacing w:before="80" w:after="80"/>
      </w:pPr>
      <w:r>
        <w:rPr>
          <w:rFonts w:ascii="Arial" w:cs="Arial" w:eastAsia="Arial" w:hAnsi="Arial"/>
          <w:sz w:val="22"/>
          <w:szCs w:val="22"/>
        </w:rPr>
        <w:t xml:space="preserve">V-d (Dependency placement defect): the commitment is initialized at the wrong depth in the dependency graph, violating the constraint algebra. Urea cycle disorders (enzyme deficiencies at specific steps of the cascade — correct enzyme commitment but placed at wrong dependency depth). Phenylketonuria also has a V-d component: phenylalanine accumulates because the downstream conversion commitment (PAH) is absent, breaking the dependency chain.</w:t>
      </w:r>
    </w:p>
    <w:p>
      <w:pPr>
        <w:pStyle w:val="Heading1"/>
        <w:spacing w:before="440" w:after="200"/>
      </w:pPr>
      <w:r>
        <w:rPr>
          <w:rFonts w:ascii="Arial" w:cs="Arial" w:eastAsia="Arial" w:hAnsi="Arial"/>
          <w:b/>
          <w:bCs/>
          <w:color w:val="1F3864"/>
          <w:sz w:val="30"/>
          <w:szCs w:val="30"/>
        </w:rPr>
        <w:t xml:space="preserve">3. Composite Diseases: Multiple Axes</w:t>
      </w:r>
    </w:p>
    <w:p>
      <w:pPr>
        <w:spacing w:before="100" w:after="100"/>
        <w:jc w:val="both"/>
      </w:pPr>
      <w:r>
        <w:rPr>
          <w:rFonts w:ascii="Arial" w:cs="Arial" w:eastAsia="Arial" w:hAnsi="Arial"/>
          <w:sz w:val="22"/>
          <w:szCs w:val="22"/>
        </w:rPr>
        <w:t xml:space="preserve">Most severe and progressive diseases instantiate multiple CM axes simultaneously. The taxonomy identifies a primary axis (the initiating or defining mechanism) and secondary axes (consequences or amplifiers). Composite disease structure explains why single-mechanism treatments often fail: attacking one axis leaves the others operative.</w:t>
      </w:r>
    </w:p>
    <w:p>
      <w:pPr>
        <w:pStyle w:val="Heading2"/>
        <w:spacing w:before="300" w:after="140"/>
      </w:pPr>
      <w:r>
        <w:rPr>
          <w:rFonts w:ascii="Arial" w:cs="Arial" w:eastAsia="Arial" w:hAnsi="Arial"/>
          <w:b/>
          <w:bCs/>
          <w:color w:val="2E75B6"/>
          <w:sz w:val="26"/>
          <w:szCs w:val="26"/>
        </w:rPr>
        <w:t xml:space="preserve">3.1 Cancer: A Five-Axis Disease</w:t>
      </w:r>
    </w:p>
    <w:p>
      <w:pPr>
        <w:spacing w:before="100" w:after="100"/>
        <w:jc w:val="both"/>
      </w:pPr>
      <w:r>
        <w:rPr>
          <w:rFonts w:ascii="Arial" w:cs="Arial" w:eastAsia="Arial" w:hAnsi="Arial"/>
          <w:sz w:val="22"/>
          <w:szCs w:val="22"/>
        </w:rPr>
        <w:t xml:space="preserve">Cancer is the most fully characterized multi-axis disease in CM:</w:t>
      </w:r>
    </w:p>
    <w:p>
      <w:pPr>
        <w:pStyle w:val="ListParagraph"/>
        <w:numPr>
          <w:ilvl w:val="0"/>
          <w:numId w:val="2"/>
        </w:numPr>
        <w:spacing w:before="80" w:after="80"/>
      </w:pPr>
      <w:r>
        <w:rPr>
          <w:rFonts w:ascii="Arial" w:cs="Arial" w:eastAsia="Arial" w:hAnsi="Arial"/>
          <w:sz w:val="22"/>
          <w:szCs w:val="22"/>
        </w:rPr>
        <w:t xml:space="preserve">Primary axis I-JMP: unauthorized somatic JUMP from normal cell to proliferative state, triggered by memory carrier (oncogenic ncRNA, viral episome, or exosome cargo) when four conditions are met.</w:t>
      </w:r>
    </w:p>
    <w:p>
      <w:pPr>
        <w:pStyle w:val="ListParagraph"/>
        <w:numPr>
          <w:ilvl w:val="0"/>
          <w:numId w:val="2"/>
        </w:numPr>
        <w:spacing w:before="80" w:after="80"/>
      </w:pPr>
      <w:r>
        <w:rPr>
          <w:rFonts w:ascii="Arial" w:cs="Arial" w:eastAsia="Arial" w:hAnsi="Arial"/>
          <w:sz w:val="22"/>
          <w:szCs w:val="22"/>
        </w:rPr>
        <w:t xml:space="preserve">Secondary axis II-TEST: loss of p53, Rb, PTEN, or other checkpoint TEST functions is the predisposing condition that allows the JUMP to execute without governance approval.</w:t>
      </w:r>
    </w:p>
    <w:p>
      <w:pPr>
        <w:pStyle w:val="ListParagraph"/>
        <w:numPr>
          <w:ilvl w:val="0"/>
          <w:numId w:val="2"/>
        </w:numPr>
        <w:spacing w:before="80" w:after="80"/>
      </w:pPr>
      <w:r>
        <w:rPr>
          <w:rFonts w:ascii="Arial" w:cs="Arial" w:eastAsia="Arial" w:hAnsi="Arial"/>
          <w:sz w:val="22"/>
          <w:szCs w:val="22"/>
        </w:rPr>
        <w:t xml:space="preserve">Secondary axis IV-DECEIVE: oncoviral episomes inject false genomic instructions; tumor-derived exosomes propagate DECEIVE operations to neighboring cells (field cancerization).</w:t>
      </w:r>
    </w:p>
    <w:p>
      <w:pPr>
        <w:pStyle w:val="ListParagraph"/>
        <w:numPr>
          <w:ilvl w:val="0"/>
          <w:numId w:val="2"/>
        </w:numPr>
        <w:spacing w:before="80" w:after="80"/>
      </w:pPr>
      <w:r>
        <w:rPr>
          <w:rFonts w:ascii="Arial" w:cs="Arial" w:eastAsia="Arial" w:hAnsi="Arial"/>
          <w:sz w:val="22"/>
          <w:szCs w:val="22"/>
        </w:rPr>
        <w:t xml:space="preserve">Secondary axis III-μ: poorly differentiated tumors exhibit μ near zero — cells have lost identity fidelity and can no longer maintain a coherent transcriptional state.</w:t>
      </w:r>
    </w:p>
    <w:p>
      <w:pPr>
        <w:pStyle w:val="ListParagraph"/>
        <w:numPr>
          <w:ilvl w:val="0"/>
          <w:numId w:val="2"/>
        </w:numPr>
        <w:spacing w:before="80" w:after="80"/>
      </w:pPr>
      <w:r>
        <w:rPr>
          <w:rFonts w:ascii="Arial" w:cs="Arial" w:eastAsia="Arial" w:hAnsi="Arial"/>
          <w:sz w:val="22"/>
          <w:szCs w:val="22"/>
        </w:rPr>
        <w:t xml:space="preserve">Secondary axis II-MONITOR: tumor immune evasion (PD-L1 upregulation, MHC-I downregulation) specifically disables MONITOR’s ability to detect and trigger HANDLE against the tumor commitment.</w:t>
      </w:r>
    </w:p>
    <w:p>
      <w:pPr>
        <w:spacing w:before="80" w:after="80"/>
      </w:pPr>
      <w:r>
        <w:t xml:space="preserve"/>
      </w:r>
    </w:p>
    <w:p>
      <w:pPr>
        <w:spacing w:before="100" w:after="100"/>
        <w:jc w:val="both"/>
      </w:pPr>
      <w:r>
        <w:rPr>
          <w:rFonts w:ascii="Arial" w:cs="Arial" w:eastAsia="Arial" w:hAnsi="Arial"/>
          <w:sz w:val="22"/>
          <w:szCs w:val="22"/>
        </w:rPr>
        <w:t xml:space="preserve">Treatment implications: chemotherapy addresses I-JMP at the cost of systemic Axis I-ANL (collateral cell destruction). Immunotherapy (checkpoint inhibitors) restores II-MONITOR. Anti-miRNA therapy targets the IV-DECEIVE carrier. p53-restoration approaches target II-TEST. The CM taxonomy predicts that combination therapies addressing all five active axes simultaneously will outperform single-axis approaches — consistent with the clinical evidence that combination immunotherapy + chemotherapy + targeted therapy achieves greater durable responses than any monotherapy.</w:t>
      </w:r>
    </w:p>
    <w:p>
      <w:pPr>
        <w:pStyle w:val="Heading2"/>
        <w:spacing w:before="300" w:after="140"/>
      </w:pPr>
      <w:r>
        <w:rPr>
          <w:rFonts w:ascii="Arial" w:cs="Arial" w:eastAsia="Arial" w:hAnsi="Arial"/>
          <w:b/>
          <w:bCs/>
          <w:color w:val="2E75B6"/>
          <w:sz w:val="26"/>
          <w:szCs w:val="26"/>
        </w:rPr>
        <w:t xml:space="preserve">3.2 Alzheimer’s Disease: Memory Architecture Collapse</w:t>
      </w:r>
    </w:p>
    <w:p>
      <w:pPr>
        <w:spacing w:before="100" w:after="100"/>
        <w:jc w:val="both"/>
      </w:pPr>
      <w:r>
        <w:rPr>
          <w:rFonts w:ascii="Arial" w:cs="Arial" w:eastAsia="Arial" w:hAnsi="Arial"/>
          <w:sz w:val="22"/>
          <w:szCs w:val="22"/>
        </w:rPr>
        <w:t xml:space="preserve">Alzheimer’s disease exhibits a specific CM progression:</w:t>
      </w:r>
    </w:p>
    <w:p>
      <w:pPr>
        <w:pStyle w:val="ListParagraph"/>
        <w:numPr>
          <w:ilvl w:val="0"/>
          <w:numId w:val="2"/>
        </w:numPr>
        <w:spacing w:before="80" w:after="80"/>
      </w:pPr>
      <w:r>
        <w:rPr>
          <w:rFonts w:ascii="Arial" w:cs="Arial" w:eastAsia="Arial" w:hAnsi="Arial"/>
          <w:sz w:val="22"/>
          <w:szCs w:val="22"/>
        </w:rPr>
        <w:t xml:space="preserve">Primary axis III-μ: amyloid-β and tau pathology progressively degrade network memory fidelity μ_sys below μ_critical.</w:t>
      </w:r>
    </w:p>
    <w:p>
      <w:pPr>
        <w:pStyle w:val="ListParagraph"/>
        <w:numPr>
          <w:ilvl w:val="0"/>
          <w:numId w:val="2"/>
        </w:numPr>
        <w:spacing w:before="80" w:after="80"/>
      </w:pPr>
      <w:r>
        <w:rPr>
          <w:rFonts w:ascii="Arial" w:cs="Arial" w:eastAsia="Arial" w:hAnsi="Arial"/>
          <w:sz w:val="22"/>
          <w:szCs w:val="22"/>
        </w:rPr>
        <w:t xml:space="preserve">Secondary axis IV-DECEIVE: tau is a DECEIVE carrier. Misfolded tau acts as a template for converting normal tau — correct protein conformation is the memory the cell holds about its cytoskeletal organization, and tau pathology corrupts this memory. Prion-like propagation of tau pathology between neurons is DECEIVE spreading through the network.</w:t>
      </w:r>
    </w:p>
    <w:p>
      <w:pPr>
        <w:pStyle w:val="ListParagraph"/>
        <w:numPr>
          <w:ilvl w:val="0"/>
          <w:numId w:val="2"/>
        </w:numPr>
        <w:spacing w:before="80" w:after="80"/>
      </w:pPr>
      <w:r>
        <w:rPr>
          <w:rFonts w:ascii="Arial" w:cs="Arial" w:eastAsia="Arial" w:hAnsi="Arial"/>
          <w:sz w:val="22"/>
          <w:szCs w:val="22"/>
        </w:rPr>
        <w:t xml:space="preserve">Secondary axis II-SCRIBE: synaptic SCRIBE mechanisms (long-term potentiation, BDNF-mediated consolidation) fail progressively, preventing new memory formation.</w:t>
      </w:r>
    </w:p>
    <w:p>
      <w:pPr>
        <w:pStyle w:val="ListParagraph"/>
        <w:numPr>
          <w:ilvl w:val="0"/>
          <w:numId w:val="2"/>
        </w:numPr>
        <w:spacing w:before="80" w:after="80"/>
      </w:pPr>
      <w:r>
        <w:rPr>
          <w:rFonts w:ascii="Arial" w:cs="Arial" w:eastAsia="Arial" w:hAnsi="Arial"/>
          <w:sz w:val="22"/>
          <w:szCs w:val="22"/>
        </w:rPr>
        <w:t xml:space="preserve">Secondary axis II-MONITOR: as μ_sys falls below μ_critical, MONITOR ceases to exist. The system can no longer detect its own degradation. This is the CM explanation of anosognosia in Alzheimer’s — the patient’s inability to perceive their own cognitive decline is not psychological denial but the structural consequence of MONITOR failing when μ &lt; μ_critical.</w:t>
      </w:r>
    </w:p>
    <w:p>
      <w:pPr>
        <w:spacing w:before="80" w:after="80"/>
      </w:pPr>
      <w:r>
        <w:t xml:space="preserve"/>
      </w:r>
    </w:p>
    <w:p>
      <w:pPr>
        <w:spacing w:before="100" w:after="100"/>
        <w:jc w:val="both"/>
      </w:pPr>
      <w:r>
        <w:rPr>
          <w:rFonts w:ascii="Arial" w:cs="Arial" w:eastAsia="Arial" w:hAnsi="Arial"/>
          <w:sz w:val="22"/>
          <w:szCs w:val="22"/>
        </w:rPr>
        <w:t xml:space="preserve">The CM cascade predicts the clinical progression: initial SCRIBE impairment (difficulty forming new memories) → progressive μ degradation → DECEIVE spread through tau propagation → MONITOR failure → loss of self-awareness → μ_sys &lt; μ_critical → complete system collapse. The irreversibility of late-stage Alzheimer’s is the CM prediction: once MONITOR fails, the system cannot detect that REPAIR is needed.</w:t>
      </w:r>
    </w:p>
    <w:p>
      <w:pPr>
        <w:pStyle w:val="Heading2"/>
        <w:spacing w:before="300" w:after="140"/>
      </w:pPr>
      <w:r>
        <w:rPr>
          <w:rFonts w:ascii="Arial" w:cs="Arial" w:eastAsia="Arial" w:hAnsi="Arial"/>
          <w:b/>
          <w:bCs/>
          <w:color w:val="2E75B6"/>
          <w:sz w:val="26"/>
          <w:szCs w:val="26"/>
        </w:rPr>
        <w:t xml:space="preserve">3.3 Metabolic Syndrome: Convergent INCREMENT Disease</w:t>
      </w:r>
    </w:p>
    <w:p>
      <w:pPr>
        <w:spacing w:before="100" w:after="100"/>
        <w:jc w:val="both"/>
      </w:pPr>
      <w:r>
        <w:rPr>
          <w:rFonts w:ascii="Arial" w:cs="Arial" w:eastAsia="Arial" w:hAnsi="Arial"/>
          <w:sz w:val="22"/>
          <w:szCs w:val="22"/>
        </w:rPr>
        <w:t xml:space="preserve">Metabolic syndrome — the co-occurrence of central obesity, hypertension, dyslipidemia, and insulin resistance — is clinically treated as a statistical association. The CM taxonomy reveals it as a convergent Axis I-INC disease: all four components are INC drift in the same relational system (energy homeostasis) driven by the same underlying mechanism (λ dysregulation in metabolic Fabric) with the same secondary control failure (II-MODULATE: insulin signaling as the metabolic MODULATE failing to contain λ drift).</w:t>
      </w:r>
    </w:p>
    <w:p>
      <w:pPr>
        <w:spacing w:before="100" w:after="100"/>
        <w:jc w:val="both"/>
      </w:pPr>
      <w:r>
        <w:rPr>
          <w:rFonts w:ascii="Arial" w:cs="Arial" w:eastAsia="Arial" w:hAnsi="Arial"/>
          <w:sz w:val="22"/>
          <w:szCs w:val="22"/>
        </w:rPr>
        <w:t xml:space="preserve">The CM taxonomy predicts that treating any single component of metabolic syndrome without addressing the underlying I-INC − II-MODULATE combination will produce partial improvement followed by recurrence — consistent with the clinical experience that lipid-lowering, antihypertensive, and glucose-lowering therapies individually improve their target parameters but do not prevent progression of the syndrome as a whole.</w:t>
      </w:r>
    </w:p>
    <w:p>
      <w:pPr>
        <w:pStyle w:val="Heading1"/>
        <w:spacing w:before="440" w:after="200"/>
      </w:pPr>
      <w:r>
        <w:rPr>
          <w:rFonts w:ascii="Arial" w:cs="Arial" w:eastAsia="Arial" w:hAnsi="Arial"/>
          <w:b/>
          <w:bCs/>
          <w:color w:val="1F3864"/>
          <w:sz w:val="30"/>
          <w:szCs w:val="30"/>
        </w:rPr>
        <w:t xml:space="preserve">4. Complete Disease Mapping</w:t>
      </w:r>
    </w:p>
    <w:p>
      <w:pPr>
        <w:spacing w:before="100" w:after="100"/>
        <w:jc w:val="both"/>
      </w:pPr>
      <w:r>
        <w:rPr>
          <w:rFonts w:ascii="Arial" w:cs="Arial" w:eastAsia="Arial" w:hAnsi="Arial"/>
          <w:sz w:val="22"/>
          <w:szCs w:val="22"/>
        </w:rPr>
        <w:t xml:space="preserve">The following table maps 60 diseases to their primary and secondary CM axes. Primary axis is the initiating or defining mechanism. Secondary axes are consequences or amplifiers.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9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Disease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Primary Axis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Secondary Axes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CM Mechanism</w:t>
            </w:r>
          </w:p>
        </w:tc>
      </w:tr>
      <w:tr>
        <w:tc>
          <w:tcPr>
            <w:gridSpan w:val="5"/>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1"/>
                <w:szCs w:val="21"/>
              </w:rPr>
              <w:t xml:space="preserve">AXIS I-JMP: JUMP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Cancer (all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II-TEST, IV-DECEIVE, III-μ, II-MONITOR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Unauthorized somatic JUMP via memory carrier (ncRNA, episome, exosome)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Prion disease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IV-DECEIVE, III-μ, II-SCRIBE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DECEIVE carrier triggers JUMP cascade in protein conformation network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Epilepsy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Unauthorized neural JUMP from resting to firing state without threshold justification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Cardiac arrhythmia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Unauthorized JUMP in pacemaker commitment state; re-entrant circuits as JUMP cascade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Type 1 diabetes onset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IV-SABOTAGE, II-MONITOR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Autoimmune JUMP destroys beta cell population; islet MONITOR lost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Anaphylaxis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 failure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JUMP in mast cell state without appropriate trigger; λ runaway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Acute psychosis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II-TEST, II-MONITOR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Unauthorized JUMP in reality-evaluation commitment; TEST failure in frame evaluation</w:t>
            </w:r>
          </w:p>
        </w:tc>
      </w:tr>
      <w:tr>
        <w:tc>
          <w:tcPr>
            <w:gridSpan w:val="5"/>
            <w:tcBorders>
              <w:top w:val="single" w:color="CCCCCC" w:sz="1"/>
              <w:left w:val="single" w:color="CCCCCC" w:sz="1"/>
              <w:bottom w:val="single" w:color="CCCCCC" w:sz="1"/>
              <w:right w:val="single" w:color="CCCCCC" w:sz="1"/>
            </w:tcBorders>
            <w:shd w:fill="1A6B7A" w:val="clear"/>
            <w:tcMar>
              <w:top w:type="dxa" w:w="100"/>
              <w:left w:type="dxa" w:w="160"/>
              <w:bottom w:type="dxa" w:w="100"/>
              <w:right w:type="dxa" w:w="160"/>
            </w:tcMar>
          </w:tcPr>
          <w:p>
            <w:r>
              <w:rPr>
                <w:rFonts w:ascii="Arial" w:cs="Arial" w:eastAsia="Arial" w:hAnsi="Arial"/>
                <w:b/>
                <w:bCs/>
                <w:color w:val="FFFFFF"/>
                <w:sz w:val="21"/>
                <w:szCs w:val="21"/>
              </w:rPr>
              <w:t xml:space="preserve">AXIS I-INC: INCREMENT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Hypertension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drift in vascular resistance anchor parameter; MODULATE cannot contain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Type 2 diabetes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 II-MONITOR</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drift in insulin receptor sensitivity; feedback MONITOR degraded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Atherosclerosis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III-D (local)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accumulation of lipid-immune complex; local D degradation at plaques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Obesity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drift in energy balance anchor parameter beyond MODULATE correction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Chronic kidney disease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nephron loss accumulation; RPR cannot restore lost nephrons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Osteoporosis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bone density loss; REPAIR-remodeling balance drifts toward net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Glaucoma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II-MONITOR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intraocular pressure drift destroys retinal ganglion cells; MONITOR detects late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Age-related macular degeneration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INC drusen accumulation; retinal REPAIR cannot clear</w:t>
            </w:r>
          </w:p>
        </w:tc>
      </w:tr>
      <w:tr>
        <w:tc>
          <w:tcPr>
            <w:gridSpan w:val="5"/>
            <w:tcBorders>
              <w:top w:val="single" w:color="CCCCCC" w:sz="1"/>
              <w:left w:val="single" w:color="CCCCCC" w:sz="1"/>
              <w:bottom w:val="single" w:color="CCCCCC" w:sz="1"/>
              <w:right w:val="single" w:color="CCCCCC" w:sz="1"/>
            </w:tcBorders>
            <w:shd w:fill="5B2C8D" w:val="clear"/>
            <w:tcMar>
              <w:top w:type="dxa" w:w="100"/>
              <w:left w:type="dxa" w:w="160"/>
              <w:bottom w:type="dxa" w:w="100"/>
              <w:right w:type="dxa" w:w="160"/>
            </w:tcMar>
          </w:tcPr>
          <w:p>
            <w:r>
              <w:rPr>
                <w:rFonts w:ascii="Arial" w:cs="Arial" w:eastAsia="Arial" w:hAnsi="Arial"/>
                <w:b/>
                <w:bCs/>
                <w:color w:val="FFFFFF"/>
                <w:sz w:val="21"/>
                <w:szCs w:val="21"/>
              </w:rPr>
              <w:t xml:space="preserve">AXIS I-ROT: ROTATE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Autoimmune disease (general)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I-ROT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IV-SABOTAGE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Immune frame ROT recognizes self as non-self; SABOTAGE of host tissue operations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Rheumatoid arthritis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I-ROT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(high)</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Synovial immune frame ROT; chronic λ elevation through inflammatory cascade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Multiple sclerosis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I-ROT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IV-SABOTAGE, III-μ</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Immune ROT attacks myelin; SABOTAGE of neural signal EXECUTE; μ degrades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Transplant rejection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I-ROT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IV-COERCE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Recipient immune frame misaligned with donor; COERCE on transplanted tissue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Celiac disease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I-ROT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Intestinal immune ROT recognizes gliadin as foreign; λ elevation damages villi</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Schizophrenia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I-ROT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II-TEST</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Reality frame ROT; TEST cannot evaluate frame alignment accurately</w:t>
            </w:r>
          </w:p>
        </w:tc>
      </w:tr>
      <w:tr>
        <w:tc>
          <w:tcPr>
            <w:gridSpan w:val="5"/>
            <w:tcBorders>
              <w:top w:val="single" w:color="CCCCCC" w:sz="1"/>
              <w:left w:val="single" w:color="CCCCCC" w:sz="1"/>
              <w:bottom w:val="single" w:color="CCCCCC" w:sz="1"/>
              <w:right w:val="single" w:color="CCCCCC" w:sz="1"/>
            </w:tcBorders>
            <w:shd w:fill="C45911" w:val="clear"/>
            <w:tcMar>
              <w:top w:type="dxa" w:w="100"/>
              <w:left w:type="dxa" w:w="160"/>
              <w:bottom w:type="dxa" w:w="100"/>
              <w:right w:type="dxa" w:w="160"/>
            </w:tcMar>
          </w:tcPr>
          <w:p>
            <w:r>
              <w:rPr>
                <w:rFonts w:ascii="Arial" w:cs="Arial" w:eastAsia="Arial" w:hAnsi="Arial"/>
                <w:b/>
                <w:bCs/>
                <w:color w:val="FFFFFF"/>
                <w:sz w:val="21"/>
                <w:szCs w:val="21"/>
              </w:rPr>
              <w:t xml:space="preserve">AXIS I-RPR: REPAIR Failure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Fibrosis (hepatic, pulmonary, renal)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III-μ</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REPAIR overactivated; fibroblast deposition replaces functional tissue; μ of scar low</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Heart failure post-MI</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Ischemic damage exceeds REPAIR capacity; infarct zone ANL cascade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Chronic non-healing wounds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IV-COERCE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REPAIR stalls due to compensation deficit (ischemia, infection COERCE)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Parkinson’s disease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III-μ, IV-DECEIVE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REPAIR fails to clear Lewy bodies; α-synuclein DECEIVE spreads pathology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Huntington’s disease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V-CV₀, I-RPR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III-μ</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V-CRT: polyQ expansion; REPAIR cannot clear aggregates; μ degrades</w:t>
            </w:r>
          </w:p>
        </w:tc>
      </w:tr>
      <w:tr>
        <w:tc>
          <w:tcPr>
            <w:gridSpan w:val="5"/>
            <w:tcBorders>
              <w:top w:val="single" w:color="CCCCCC" w:sz="1"/>
              <w:left w:val="single" w:color="CCCCCC" w:sz="1"/>
              <w:bottom w:val="single" w:color="CCCCCC" w:sz="1"/>
              <w:right w:val="single" w:color="CCCCCC" w:sz="1"/>
            </w:tcBorders>
            <w:shd w:fill="8B1A1A" w:val="clear"/>
            <w:tcMar>
              <w:top w:type="dxa" w:w="100"/>
              <w:left w:type="dxa" w:w="160"/>
              <w:bottom w:type="dxa" w:w="100"/>
              <w:right w:type="dxa" w:w="160"/>
            </w:tcMar>
          </w:tcPr>
          <w:p>
            <w:r>
              <w:rPr>
                <w:rFonts w:ascii="Arial" w:cs="Arial" w:eastAsia="Arial" w:hAnsi="Arial"/>
                <w:b/>
                <w:bCs/>
                <w:color w:val="FFFFFF"/>
                <w:sz w:val="21"/>
                <w:szCs w:val="21"/>
              </w:rPr>
              <w:t xml:space="preserve">AXIS I-ANL: ANNIHILATE Cascade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Stroke (ischemic)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III-D, III-μ</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Oxygen deprivation triggers ANL cascade; D and μ collapse in ischemic territory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Acute liver failure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II-MONITOR</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Mass hepatocyte ANL beyond regenerative capacity; hepatic MONITOR 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IV-COERCE, III-λ</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Alveolar ANL cascade from COERCE (pathogen/toxin) plus λ runaway (cytokines)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Spinal muscular atrophy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V-CV₀</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SMN protein deficiency (V-CRT); motor neuron ANL cascade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Retinitis pigmentosa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V-V/A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Photoreceptor ANL cascade; multiple CRT defects in rhodopsin/other genes</w:t>
            </w:r>
          </w:p>
        </w:tc>
      </w:tr>
      <w:tr>
        <w:tc>
          <w:tcPr>
            <w:gridSpan w:val="5"/>
            <w:tcBorders>
              <w:top w:val="single" w:color="CCCCCC" w:sz="1"/>
              <w:left w:val="single" w:color="CCCCCC" w:sz="1"/>
              <w:bottom w:val="single" w:color="CCCCCC" w:sz="1"/>
              <w:right w:val="single" w:color="CCCCCC" w:sz="1"/>
            </w:tcBorders>
            <w:shd w:fill="2D5016" w:val="clear"/>
            <w:tcMar>
              <w:top w:type="dxa" w:w="100"/>
              <w:left w:type="dxa" w:w="160"/>
              <w:bottom w:type="dxa" w:w="100"/>
              <w:right w:type="dxa" w:w="160"/>
            </w:tcMar>
          </w:tcPr>
          <w:p>
            <w:r>
              <w:rPr>
                <w:rFonts w:ascii="Arial" w:cs="Arial" w:eastAsia="Arial" w:hAnsi="Arial"/>
                <w:b/>
                <w:bCs/>
                <w:color w:val="FFFFFF"/>
                <w:sz w:val="21"/>
                <w:szCs w:val="21"/>
              </w:rPr>
              <w:t xml:space="preserve">AXIS II: Control Absence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Li-Fraumeni syndrome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p53 TEST failure; all cancers are JMPs that TEST cannot prevent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Lynch syndrome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II-TEST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I-JMP</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MMR TEST failure; colorectal, endometrial, ovarian cancers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Primary immunodeficiency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II-MONITOR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IV-COERCE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Immune MONITOR absent; COERCE pathogens succeed without resistance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HIV/AIDS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IV-DECEIVE → II-MONITOR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IV-EXTRACT, III-μ</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DECEIVE destroys MONITOR substrate (CD4+); EXTRACT of immune resources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Alzheimer’s disease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III-μ</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IV-DECEIVE, II-SCRIBE, II-MONITOR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See Section 3.2 for full composite analysis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Chronic inflammation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II-NEGOTIATE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(high)</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NEGOTIATE cannot resolve ℒ = 0; system trapped in INCONCLUSIVE with high λ</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Bipolar disorder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cycling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MODULATE failure produces λ cycling between runaway (mania) and depletion (depression)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Sepsis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(runaway), I-ANL</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Systemic λ runaway beyond MODULATE capacity; organ ANL cascade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Marfan syndrome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II-SECURE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Fibrillin-1 SECURE defect; D insufficient in aorta, lens, skeleton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Ehlers-Danlos syndrome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II-SECURE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III-D</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Collagen SECURE defect; D insufficient in connective tissue</w:t>
            </w:r>
          </w:p>
        </w:tc>
      </w:tr>
      <w:tr>
        <w:tc>
          <w:tcPr>
            <w:gridSpan w:val="5"/>
            <w:tcBorders>
              <w:top w:val="single" w:color="CCCCCC" w:sz="1"/>
              <w:left w:val="single" w:color="CCCCCC" w:sz="1"/>
              <w:bottom w:val="single" w:color="CCCCCC" w:sz="1"/>
              <w:right w:val="single" w:color="CCCCCC" w:sz="1"/>
            </w:tcBorders>
            <w:shd w:fill="4A2060" w:val="clear"/>
            <w:tcMar>
              <w:top w:type="dxa" w:w="100"/>
              <w:left w:type="dxa" w:w="160"/>
              <w:bottom w:type="dxa" w:w="100"/>
              <w:right w:type="dxa" w:w="160"/>
            </w:tcMar>
          </w:tcPr>
          <w:p>
            <w:r>
              <w:rPr>
                <w:rFonts w:ascii="Arial" w:cs="Arial" w:eastAsia="Arial" w:hAnsi="Arial"/>
                <w:b/>
                <w:bCs/>
                <w:color w:val="FFFFFF"/>
                <w:sz w:val="21"/>
                <w:szCs w:val="21"/>
              </w:rPr>
              <w:t xml:space="preserve">AXIS III: Fabric Degradation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Burnout / chronic fatigue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Sustained λ EXTRACT without MODULATE restoration; λ depleted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PTSD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III-μ (over-consolidated)</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II-SCRIBE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Trauma memory over-consolidated; pathological μ for specific 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Treatment-resistant depression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II-NEGOTIATE, III-λ</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II-MONITOR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NEGOTIATE failure plus λ depletion; MONITOR cannot detect own state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Hypothyroidism</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(low)</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λ depletion through T3/T4 insufficiency; INC drift in metabolic parameters</w:t>
            </w:r>
          </w:p>
        </w:tc>
      </w:tr>
      <w:tr>
        <w:tc>
          <w:tcPr>
            <w:gridSpan w:val="5"/>
            <w:tcBorders>
              <w:top w:val="single" w:color="CCCCCC" w:sz="1"/>
              <w:left w:val="single" w:color="CCCCCC" w:sz="1"/>
              <w:bottom w:val="single" w:color="CCCCCC" w:sz="1"/>
              <w:right w:val="single" w:color="CCCCCC" w:sz="1"/>
            </w:tcBorders>
            <w:shd w:fill="8B1A1A" w:val="clear"/>
            <w:tcMar>
              <w:top w:type="dxa" w:w="100"/>
              <w:left w:type="dxa" w:w="160"/>
              <w:bottom w:type="dxa" w:w="100"/>
              <w:right w:type="dxa" w:w="160"/>
            </w:tcMar>
          </w:tcPr>
          <w:p>
            <w:r>
              <w:rPr>
                <w:rFonts w:ascii="Arial" w:cs="Arial" w:eastAsia="Arial" w:hAnsi="Arial"/>
                <w:b/>
                <w:bCs/>
                <w:color w:val="FFFFFF"/>
                <w:sz w:val="21"/>
                <w:szCs w:val="21"/>
              </w:rPr>
              <w:t xml:space="preserve">AXIS IV: Adversarial Intrusion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Bacterial infection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IV-COERCE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III-D, III-λ</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Pathogen COERCE overcomes D barriers; λ elevated in immune response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Viral infection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IV-DECEIVE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II-MONITOR, III-μ</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Virus DECEIVE injects false genomic program; MONITOR evaded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Parasitic infection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IV-EXTRACT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III-λ (low), III-D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Parasite EXTRACT depletes host λ and D; chronic depletion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Toxin poisoning (botulinum)</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IV-SABOTAGE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II-MODULATE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ABORT mechanism on neuromuscular EXECUTE; MODULATE cannot restore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Malaria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IV-EXTRACT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 III-μ</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Plasmodium EXTRACT destroys red blood cells; ANL cascade in severe disease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Myasthenia gravis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IV-SABOTAGE (autoimmune)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I-ROT</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AChR SABOTAGE by autoantibody; ROT of immune frame to self-target</w:t>
            </w:r>
          </w:p>
        </w:tc>
      </w:tr>
      <w:tr>
        <w:tc>
          <w:tcPr>
            <w:gridSpan w:val="5"/>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1"/>
                <w:szCs w:val="21"/>
              </w:rPr>
              <w:t xml:space="preserve">AXIS V: Initialization Defect Diseases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Down syndrome (trisomy 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V-CV₀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 (multiple)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Dosage imbalance in CV₀ of hundreds of commitments; INC drift in many systems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Cystic fibrosis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V-V</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IV-COERCE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CFTR V → 0; secretion commitments invisible; COERCE pathogens exploit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Hemophilia 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I-ANL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Coagulation T → 0; cascade cannot propagate; ANL from uncontrolled bleeding</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Sickle cell disease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V-A</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IV-COERCE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Hemoglobin A → low under hypoxia; sickling = D collapse; COERCE vulnerability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Phenylketonuria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V-V, V-d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III-μ</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PAH V → 0; Phe accumulates; neural μ degraded by substrate toxicity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Osteogenesis imperfecta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V-A</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II-SECURE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Collagen A → low; bone SECURE insufficient; fracture on minor COERCE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Turner syndrome (45,X)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V-CV₀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I-INC (multiple)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CV₀ deficit in gonadal and somatic commitments; multiple INC drifts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Duchenne muscular dystrophy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V-A</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I-RPR, I-ANL</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Dystrophin A → 0; muscle SECURE absent; REPAIR overwhelmed; ANL cascade</w:t>
            </w:r>
          </w:p>
        </w:tc>
      </w:tr>
    </w:tbl>
    <w:p>
      <w:pPr>
        <w:spacing w:before="80" w:after="80"/>
      </w:pPr>
      <w:r>
        <w:t xml:space="preserve"/>
      </w:r>
    </w:p>
    <w:p>
      <w:pPr>
        <w:pStyle w:val="Heading1"/>
        <w:spacing w:before="440" w:after="200"/>
      </w:pPr>
      <w:r>
        <w:rPr>
          <w:rFonts w:ascii="Arial" w:cs="Arial" w:eastAsia="Arial" w:hAnsi="Arial"/>
          <w:b/>
          <w:bCs/>
          <w:color w:val="1F3864"/>
          <w:sz w:val="30"/>
          <w:szCs w:val="30"/>
        </w:rPr>
        <w:t xml:space="preserve">5. Treatment Implications</w:t>
      </w:r>
    </w:p>
    <w:p>
      <w:pPr>
        <w:spacing w:before="100" w:after="100"/>
        <w:jc w:val="both"/>
      </w:pPr>
      <w:r>
        <w:rPr>
          <w:rFonts w:ascii="Arial" w:cs="Arial" w:eastAsia="Arial" w:hAnsi="Arial"/>
          <w:sz w:val="22"/>
          <w:szCs w:val="22"/>
        </w:rPr>
        <w:t xml:space="preserve">The CM taxonomy is not descriptive. Each axis implies a specific treatment target, an intervention logic, and a prediction about which single-axis treatments will fail and why.</w:t>
      </w:r>
    </w:p>
    <w:p>
      <w:pPr>
        <w:pStyle w:val="Heading2"/>
        <w:spacing w:before="300" w:after="140"/>
      </w:pPr>
      <w:r>
        <w:rPr>
          <w:rFonts w:ascii="Arial" w:cs="Arial" w:eastAsia="Arial" w:hAnsi="Arial"/>
          <w:b/>
          <w:bCs/>
          <w:color w:val="2E75B6"/>
          <w:sz w:val="26"/>
          <w:szCs w:val="26"/>
        </w:rPr>
        <w:t xml:space="preserve">5.1 Axis I: Target the Operation</w:t>
      </w:r>
    </w:p>
    <w:p>
      <w:pPr>
        <w:spacing w:before="100" w:after="100"/>
        <w:jc w:val="both"/>
      </w:pPr>
      <w:r>
        <w:rPr>
          <w:rFonts w:ascii="Arial" w:cs="Arial" w:eastAsia="Arial" w:hAnsi="Arial"/>
          <w:sz w:val="22"/>
          <w:szCs w:val="22"/>
        </w:rPr>
        <w:t xml:space="preserve">Axis I treatment restores the operation to its permitted domain or prevents its unauthorized execution. The correct target is determined by which operation is failing.</w:t>
      </w:r>
    </w:p>
    <w:p>
      <w:pPr>
        <w:pStyle w:val="ListParagraph"/>
        <w:numPr>
          <w:ilvl w:val="0"/>
          <w:numId w:val="2"/>
        </w:numPr>
        <w:spacing w:before="80" w:after="80"/>
      </w:pPr>
      <w:r>
        <w:rPr>
          <w:rFonts w:ascii="Arial" w:cs="Arial" w:eastAsia="Arial" w:hAnsi="Arial"/>
          <w:sz w:val="22"/>
          <w:szCs w:val="22"/>
        </w:rPr>
        <w:t xml:space="preserve">I-JMP treatment: degrade the memory carrier’s μ_local before it achieves Coupling mode with the target cell. Anti-miRNA therapy (antagomirs), exosome interception, and onco-viral clearance are carrier-level interventions. This is the most efficient intervention (Proposition 4.1: CRT/ANL &gt; JMP &gt; ROT &gt; INC &gt; RPR). Chemotherapy targeting the bound cell is less efficient than targeting the carrier — consistent with the lower cure rates of cytotoxic monotherapy compared with carrier-targeted combinations.</w:t>
      </w:r>
    </w:p>
    <w:p>
      <w:pPr>
        <w:pStyle w:val="ListParagraph"/>
        <w:numPr>
          <w:ilvl w:val="0"/>
          <w:numId w:val="2"/>
        </w:numPr>
        <w:spacing w:before="80" w:after="80"/>
      </w:pPr>
      <w:r>
        <w:rPr>
          <w:rFonts w:ascii="Arial" w:cs="Arial" w:eastAsia="Arial" w:hAnsi="Arial"/>
          <w:sz w:val="22"/>
          <w:szCs w:val="22"/>
        </w:rPr>
        <w:t xml:space="preserve">I-INC treatment: identify and reverse the INC drift before it exceeds the REPAIR threshold. Antihypertensives, statins, and insulin sensitizers are INC correction tools. The CM taxonomy predicts they are most effective early (small cumulative drift) and least effective late (drift has propagated through dependency graph to downstream commitments).</w:t>
      </w:r>
    </w:p>
    <w:p>
      <w:pPr>
        <w:pStyle w:val="ListParagraph"/>
        <w:numPr>
          <w:ilvl w:val="0"/>
          <w:numId w:val="2"/>
        </w:numPr>
        <w:spacing w:before="80" w:after="80"/>
      </w:pPr>
      <w:r>
        <w:rPr>
          <w:rFonts w:ascii="Arial" w:cs="Arial" w:eastAsia="Arial" w:hAnsi="Arial"/>
          <w:sz w:val="22"/>
          <w:szCs w:val="22"/>
        </w:rPr>
        <w:t xml:space="preserve">I-ROT treatment: restore frame alignment through targeted ROT in the opposite direction. Immunosuppression (reducing the immune system’s capacity to execute its misaligned operations) is the current approach but does not correct the ROT — it suppresses execution of a misaligned operation. True I-ROT treatment would correct the frame alignment directly, as attempted by tolerance induction protocols and desensitization therapy.</w:t>
      </w:r>
    </w:p>
    <w:p>
      <w:pPr>
        <w:pStyle w:val="ListParagraph"/>
        <w:numPr>
          <w:ilvl w:val="0"/>
          <w:numId w:val="2"/>
        </w:numPr>
        <w:spacing w:before="80" w:after="80"/>
      </w:pPr>
      <w:r>
        <w:rPr>
          <w:rFonts w:ascii="Arial" w:cs="Arial" w:eastAsia="Arial" w:hAnsi="Arial"/>
          <w:sz w:val="22"/>
          <w:szCs w:val="22"/>
        </w:rPr>
        <w:t xml:space="preserve">I-RPR treatment: supply the compensation required for REPAIR. Wound healing requires adequate blood supply, nutrition, and immune function — these are the compensation (U, I, R, C, Inf, O) that REPAIR requires (Theorem 2.1). Fibrosis treatment must also address REPAIR overactivation: anti-fibrotic agents (pirfenidone, nintedanib) reduce REPAIR activation, not by suppressing it entirely but by restoring the calibration between REPAIR rate and actual damage.</w:t>
      </w:r>
    </w:p>
    <w:p>
      <w:pPr>
        <w:pStyle w:val="ListParagraph"/>
        <w:numPr>
          <w:ilvl w:val="0"/>
          <w:numId w:val="2"/>
        </w:numPr>
        <w:spacing w:before="80" w:after="80"/>
      </w:pPr>
      <w:r>
        <w:rPr>
          <w:rFonts w:ascii="Arial" w:cs="Arial" w:eastAsia="Arial" w:hAnsi="Arial"/>
          <w:sz w:val="22"/>
          <w:szCs w:val="22"/>
        </w:rPr>
        <w:t xml:space="preserve">I-ANL treatment: limit cascade propagation through dependency graph. Neuroprotection after stroke targets the penumbra — cells at d = 1 from the ischemic core that will proceed to ANL if the cascade is not interrupted. The CM framework predicts that interventions effective at the core (d = 0) must be applied before ANL is complete, while interventions at the penumbra (d = 1, 2) have a longer window. This is the clinical evidence for thrombolysis (core-directed, narrow time window) vs. neuroprotection (penumbra-directed, wider window).</w:t>
      </w:r>
    </w:p>
    <w:p>
      <w:pPr>
        <w:pStyle w:val="Heading2"/>
        <w:spacing w:before="300" w:after="140"/>
      </w:pPr>
      <w:r>
        <w:rPr>
          <w:rFonts w:ascii="Arial" w:cs="Arial" w:eastAsia="Arial" w:hAnsi="Arial"/>
          <w:b/>
          <w:bCs/>
          <w:color w:val="2E75B6"/>
          <w:sz w:val="26"/>
          <w:szCs w:val="26"/>
        </w:rPr>
        <w:t xml:space="preserve">5.2 Axis II: Restore the Control</w:t>
      </w:r>
    </w:p>
    <w:p>
      <w:pPr>
        <w:spacing w:before="100" w:after="100"/>
        <w:jc w:val="both"/>
      </w:pPr>
      <w:r>
        <w:rPr>
          <w:rFonts w:ascii="Arial" w:cs="Arial" w:eastAsia="Arial" w:hAnsi="Arial"/>
          <w:sz w:val="22"/>
          <w:szCs w:val="22"/>
        </w:rPr>
        <w:t xml:space="preserve">Axis II treatment restores the failing control function or introduces compensatory control from outside the system.</w:t>
      </w:r>
    </w:p>
    <w:p>
      <w:pPr>
        <w:pStyle w:val="ListParagraph"/>
        <w:numPr>
          <w:ilvl w:val="0"/>
          <w:numId w:val="2"/>
        </w:numPr>
        <w:spacing w:before="80" w:after="80"/>
      </w:pPr>
      <w:r>
        <w:rPr>
          <w:rFonts w:ascii="Arial" w:cs="Arial" w:eastAsia="Arial" w:hAnsi="Arial"/>
          <w:sz w:val="22"/>
          <w:szCs w:val="22"/>
        </w:rPr>
        <w:t xml:space="preserve">II-TEST restoration: gene therapy for hereditary TEST failures (CRISPR correction of p53, MMR genes), small molecule p53 reactivators (APR-246/eprenetapopt for p53-mutant cancers), CDK4/6 inhibitors that restore Rb TEST function.</w:t>
      </w:r>
    </w:p>
    <w:p>
      <w:pPr>
        <w:pStyle w:val="ListParagraph"/>
        <w:numPr>
          <w:ilvl w:val="0"/>
          <w:numId w:val="2"/>
        </w:numPr>
        <w:spacing w:before="80" w:after="80"/>
      </w:pPr>
      <w:r>
        <w:rPr>
          <w:rFonts w:ascii="Arial" w:cs="Arial" w:eastAsia="Arial" w:hAnsi="Arial"/>
          <w:sz w:val="22"/>
          <w:szCs w:val="22"/>
        </w:rPr>
        <w:t xml:space="preserve">II-MONITOR restoration: immunotherapy restoring immune MONITOR (checkpoint inhibitors removing the tumor’s MONITOR block; CAR-T cells as exogenous MONITOR); hearing aids and cochlear implants as external MONITOR for sensory systems; continuous glucose monitors as external metabolic MONITOR for II-MONITOR type 2 diabetes.</w:t>
      </w:r>
    </w:p>
    <w:p>
      <w:pPr>
        <w:pStyle w:val="ListParagraph"/>
        <w:numPr>
          <w:ilvl w:val="0"/>
          <w:numId w:val="2"/>
        </w:numPr>
        <w:spacing w:before="80" w:after="80"/>
      </w:pPr>
      <w:r>
        <w:rPr>
          <w:rFonts w:ascii="Arial" w:cs="Arial" w:eastAsia="Arial" w:hAnsi="Arial"/>
          <w:sz w:val="22"/>
          <w:szCs w:val="22"/>
        </w:rPr>
        <w:t xml:space="preserve">II-NEGOTIATE: therapies that help INCONCLUSIVE states resolve. Anti-inflammatory biologics that push chronic inflammation from ℒ = 0 toward ℒ = −1 (TNF inhibitors, IL-6 inhibitors, IL-17 inhibitors). Allergen immunotherapy that resolves allergic NEGOTIATE toward tolerance (ℒ = −1 to allergen). Certain psychotherapies (CBT, EMDR) function as external NEGOTIATE assistance for psychological INCONCLUSIVE states.</w:t>
      </w:r>
    </w:p>
    <w:p>
      <w:pPr>
        <w:pStyle w:val="ListParagraph"/>
        <w:numPr>
          <w:ilvl w:val="0"/>
          <w:numId w:val="2"/>
        </w:numPr>
        <w:spacing w:before="80" w:after="80"/>
      </w:pPr>
      <w:r>
        <w:rPr>
          <w:rFonts w:ascii="Arial" w:cs="Arial" w:eastAsia="Arial" w:hAnsi="Arial"/>
          <w:sz w:val="22"/>
          <w:szCs w:val="22"/>
        </w:rPr>
        <w:t xml:space="preserve">II-SCRIBE/SECURE/MODULATE: Fabric regulator restoration. SCRIBE: acetylcholinesterase inhibitors in Alzheimer’s slow SCRIBE degradation. SECURE: collagen cross-linking in connective tissue SECURE failures. MODULATE: mood stabilizers (lithium, valproate) for II-MODULATE bipolar disorder; thyroid replacement for III-λ hypothyroidism.</w:t>
      </w:r>
    </w:p>
    <w:p>
      <w:pPr>
        <w:pStyle w:val="Heading2"/>
        <w:spacing w:before="300" w:after="140"/>
      </w:pPr>
      <w:r>
        <w:rPr>
          <w:rFonts w:ascii="Arial" w:cs="Arial" w:eastAsia="Arial" w:hAnsi="Arial"/>
          <w:b/>
          <w:bCs/>
          <w:color w:val="2E75B6"/>
          <w:sz w:val="26"/>
          <w:szCs w:val="26"/>
        </w:rPr>
        <w:t xml:space="preserve">5.3 Axis III: Restore Fabric Coordinates</w:t>
      </w:r>
    </w:p>
    <w:p>
      <w:pPr>
        <w:spacing w:before="100" w:after="100"/>
        <w:jc w:val="both"/>
      </w:pPr>
      <w:r>
        <w:rPr>
          <w:rFonts w:ascii="Arial" w:cs="Arial" w:eastAsia="Arial" w:hAnsi="Arial"/>
          <w:sz w:val="22"/>
          <w:szCs w:val="22"/>
        </w:rPr>
        <w:t xml:space="preserve">Axis III treatment directly restores the Fabric coordinate(s) to viable ranges. REPAIR (RPR) is the primary tool: RPRr : (D_j, μ_j, λ_j) → (D_j + r(1-D_j), μ_j + rμ_j, λ_j - r(λ_j - λ_target)) with r ∈ [0,1].</w:t>
      </w:r>
    </w:p>
    <w:p>
      <w:pPr>
        <w:pStyle w:val="ListParagraph"/>
        <w:numPr>
          <w:ilvl w:val="0"/>
          <w:numId w:val="2"/>
        </w:numPr>
        <w:spacing w:before="80" w:after="80"/>
      </w:pPr>
      <w:r>
        <w:rPr>
          <w:rFonts w:ascii="Arial" w:cs="Arial" w:eastAsia="Arial" w:hAnsi="Arial"/>
          <w:sz w:val="22"/>
          <w:szCs w:val="22"/>
        </w:rPr>
        <w:t xml:space="preserve">Low D: structural support (compression stockings in venous insufficiency), collagen synthesis support (ascorbic acid), extracellular matrix scaffolds in tissue engineering, blood-brain barrier repair (anti-VEGF, FGF-2).</w:t>
      </w:r>
    </w:p>
    <w:p>
      <w:pPr>
        <w:pStyle w:val="ListParagraph"/>
        <w:numPr>
          <w:ilvl w:val="0"/>
          <w:numId w:val="2"/>
        </w:numPr>
        <w:spacing w:before="80" w:after="80"/>
      </w:pPr>
      <w:r>
        <w:rPr>
          <w:rFonts w:ascii="Arial" w:cs="Arial" w:eastAsia="Arial" w:hAnsi="Arial"/>
          <w:sz w:val="22"/>
          <w:szCs w:val="22"/>
        </w:rPr>
        <w:t xml:space="preserve">Low μ: memory restoration is the hardest problem. Cholinesterase inhibitors (donepezil, rivastigmine) delay SCRIBE loss. Cognitive rehabilitation restores μ partially through neural SCRIBE reactivation. No current therapy reverses advanced μ degradation — this is the prediction of the framework: once μ &lt; μ_critical and MONITOR fails, repair cannot be self-initiated.</w:t>
      </w:r>
    </w:p>
    <w:p>
      <w:pPr>
        <w:pStyle w:val="ListParagraph"/>
        <w:numPr>
          <w:ilvl w:val="0"/>
          <w:numId w:val="2"/>
        </w:numPr>
        <w:spacing w:before="80" w:after="80"/>
      </w:pPr>
      <w:r>
        <w:rPr>
          <w:rFonts w:ascii="Arial" w:cs="Arial" w:eastAsia="Arial" w:hAnsi="Arial"/>
          <w:sz w:val="22"/>
          <w:szCs w:val="22"/>
        </w:rPr>
        <w:t xml:space="preserve">High λ: excitation suppression. Antiepileptics suppress I-JMP by reducing λ. Anti-inflammatory agents reduce III-λ in inflammatory disease. Beta-blockers reduce cardiac λ. Antipsychotics reduce dopaminergic λ.</w:t>
      </w:r>
    </w:p>
    <w:p>
      <w:pPr>
        <w:pStyle w:val="ListParagraph"/>
        <w:numPr>
          <w:ilvl w:val="0"/>
          <w:numId w:val="2"/>
        </w:numPr>
        <w:spacing w:before="80" w:after="80"/>
      </w:pPr>
      <w:r>
        <w:rPr>
          <w:rFonts w:ascii="Arial" w:cs="Arial" w:eastAsia="Arial" w:hAnsi="Arial"/>
          <w:sz w:val="22"/>
          <w:szCs w:val="22"/>
        </w:rPr>
        <w:t xml:space="preserve">Low λ: excitation restoration. Thyroid replacement for hypothyroidism. Stimulants in appropriate λ-depletion states. Exercise as physiological λ restoration without MODULATE overload.</w:t>
      </w:r>
    </w:p>
    <w:p>
      <w:pPr>
        <w:pStyle w:val="Heading2"/>
        <w:spacing w:before="300" w:after="140"/>
      </w:pPr>
      <w:r>
        <w:rPr>
          <w:rFonts w:ascii="Arial" w:cs="Arial" w:eastAsia="Arial" w:hAnsi="Arial"/>
          <w:b/>
          <w:bCs/>
          <w:color w:val="2E75B6"/>
          <w:sz w:val="26"/>
          <w:szCs w:val="26"/>
        </w:rPr>
        <w:t xml:space="preserve">5.4 Axis IV: Defend Against Intrusion</w:t>
      </w:r>
    </w:p>
    <w:p>
      <w:pPr>
        <w:spacing w:before="100" w:after="100"/>
        <w:jc w:val="both"/>
      </w:pPr>
      <w:r>
        <w:rPr>
          <w:rFonts w:ascii="Arial" w:cs="Arial" w:eastAsia="Arial" w:hAnsi="Arial"/>
          <w:sz w:val="22"/>
          <w:szCs w:val="22"/>
        </w:rPr>
        <w:t xml:space="preserve">Axis IV treatment strengthens the defense matched to the intrusion type (Proposition 4.7):</w:t>
      </w:r>
    </w:p>
    <w:p>
      <w:pPr>
        <w:pStyle w:val="ListParagraph"/>
        <w:numPr>
          <w:ilvl w:val="0"/>
          <w:numId w:val="2"/>
        </w:numPr>
        <w:spacing w:before="80" w:after="80"/>
      </w:pPr>
      <w:r>
        <w:rPr>
          <w:rFonts w:ascii="Arial" w:cs="Arial" w:eastAsia="Arial" w:hAnsi="Arial"/>
          <w:sz w:val="22"/>
          <w:szCs w:val="22"/>
        </w:rPr>
        <w:t xml:space="preserve">IV-COERCE: SECURE defends. Antibiotics, antivirals, antifungals — all reduce f_ext of the COERCE force. Vaccines pre-strengthen SECURE (D) against specific COERCE forces before they are encountered. Physical barriers (wound care, infection prevention) maintain D.</w:t>
      </w:r>
    </w:p>
    <w:p>
      <w:pPr>
        <w:pStyle w:val="ListParagraph"/>
        <w:numPr>
          <w:ilvl w:val="0"/>
          <w:numId w:val="2"/>
        </w:numPr>
        <w:spacing w:before="80" w:after="80"/>
      </w:pPr>
      <w:r>
        <w:rPr>
          <w:rFonts w:ascii="Arial" w:cs="Arial" w:eastAsia="Arial" w:hAnsi="Arial"/>
          <w:sz w:val="22"/>
          <w:szCs w:val="22"/>
        </w:rPr>
        <w:t xml:space="preserve">IV-DECEIVE: SCRIBE defends. Antiviral therapy (HIV antiretrovirals) targets the DECEIVE mechanism directly — reverse transcriptase inhibitors block the step at which viral DECEIVE inserts false genomic instructions. HPV vaccination prevents the episome from being introduced. Anti-prion strategies aim to prevent DECEIVE propagation.</w:t>
      </w:r>
    </w:p>
    <w:p>
      <w:pPr>
        <w:pStyle w:val="ListParagraph"/>
        <w:numPr>
          <w:ilvl w:val="0"/>
          <w:numId w:val="2"/>
        </w:numPr>
        <w:spacing w:before="80" w:after="80"/>
      </w:pPr>
      <w:r>
        <w:rPr>
          <w:rFonts w:ascii="Arial" w:cs="Arial" w:eastAsia="Arial" w:hAnsi="Arial"/>
          <w:sz w:val="22"/>
          <w:szCs w:val="22"/>
        </w:rPr>
        <w:t xml:space="preserve">IV-EXTRACT: MODULATE defends. Antiparasitic therapy removes the EXTRACT agent. Nutritional supplementation restores depleted Compensation vectors. Rest and recovery restore MODULATE capacity after EXTRACT.</w:t>
      </w:r>
    </w:p>
    <w:p>
      <w:pPr>
        <w:pStyle w:val="ListParagraph"/>
        <w:numPr>
          <w:ilvl w:val="0"/>
          <w:numId w:val="2"/>
        </w:numPr>
        <w:spacing w:before="80" w:after="80"/>
      </w:pPr>
      <w:r>
        <w:rPr>
          <w:rFonts w:ascii="Arial" w:cs="Arial" w:eastAsia="Arial" w:hAnsi="Arial"/>
          <w:sz w:val="22"/>
          <w:szCs w:val="22"/>
        </w:rPr>
        <w:t xml:space="preserve">IV-SABOTAGE: MONITOR + HANDLE defend. Antitoxins (botulinum antitoxin) bind and neutralize SABOTAGE agents before they reach their operation target. Neuromuscular SABOTAGE is treated by removing the SABOTAGE agent (plasma exchange in Guillain-Barré, immunosuppression in myasthenia gravis).</w:t>
      </w:r>
    </w:p>
    <w:p>
      <w:pPr>
        <w:pStyle w:val="Heading2"/>
        <w:spacing w:before="300" w:after="140"/>
      </w:pPr>
      <w:r>
        <w:rPr>
          <w:rFonts w:ascii="Arial" w:cs="Arial" w:eastAsia="Arial" w:hAnsi="Arial"/>
          <w:b/>
          <w:bCs/>
          <w:color w:val="2E75B6"/>
          <w:sz w:val="26"/>
          <w:szCs w:val="26"/>
        </w:rPr>
        <w:t xml:space="preserve">5.5 Axis V: Address the Initialization Defect</w:t>
      </w:r>
    </w:p>
    <w:p>
      <w:pPr>
        <w:spacing w:before="100" w:after="100"/>
        <w:jc w:val="both"/>
      </w:pPr>
      <w:r>
        <w:rPr>
          <w:rFonts w:ascii="Arial" w:cs="Arial" w:eastAsia="Arial" w:hAnsi="Arial"/>
          <w:sz w:val="22"/>
          <w:szCs w:val="22"/>
        </w:rPr>
        <w:t xml:space="preserve">Axis V treatment corrects or compensates for the malformed CRT:</w:t>
      </w:r>
    </w:p>
    <w:p>
      <w:pPr>
        <w:pStyle w:val="ListParagraph"/>
        <w:numPr>
          <w:ilvl w:val="0"/>
          <w:numId w:val="2"/>
        </w:numPr>
        <w:spacing w:before="80" w:after="80"/>
      </w:pPr>
      <w:r>
        <w:rPr>
          <w:rFonts w:ascii="Arial" w:cs="Arial" w:eastAsia="Arial" w:hAnsi="Arial"/>
          <w:sz w:val="22"/>
          <w:szCs w:val="22"/>
        </w:rPr>
        <w:t xml:space="preserve">V-CV₀: gene dosage correction remains technically challenging. Trisomy correction in Down syndrome is an active research area (chromosome silencing using XIST-based approaches applied to chromosome 21). Monosomy correction: hormone replacement in Turner syndrome compensates for CV₀ deficit in gonadal commitments without correcting the initialization defect.</w:t>
      </w:r>
    </w:p>
    <w:p>
      <w:pPr>
        <w:pStyle w:val="ListParagraph"/>
        <w:numPr>
          <w:ilvl w:val="0"/>
          <w:numId w:val="2"/>
        </w:numPr>
        <w:spacing w:before="80" w:after="80"/>
      </w:pPr>
      <w:r>
        <w:rPr>
          <w:rFonts w:ascii="Arial" w:cs="Arial" w:eastAsia="Arial" w:hAnsi="Arial"/>
          <w:sz w:val="22"/>
          <w:szCs w:val="22"/>
        </w:rPr>
        <w:t xml:space="preserve">V-V: protein trafficking correction. CFTR modulators (ivacaftor, lumacaftor, elexacaftor) restore CFTR visibility by correcting its folding and trafficking to the cell surface — the most direct V-axis treatment available, converting V from ≈ 0 to functional range.</w:t>
      </w:r>
    </w:p>
    <w:p>
      <w:pPr>
        <w:pStyle w:val="ListParagraph"/>
        <w:numPr>
          <w:ilvl w:val="0"/>
          <w:numId w:val="2"/>
        </w:numPr>
        <w:spacing w:before="80" w:after="80"/>
      </w:pPr>
      <w:r>
        <w:rPr>
          <w:rFonts w:ascii="Arial" w:cs="Arial" w:eastAsia="Arial" w:hAnsi="Arial"/>
          <w:sz w:val="22"/>
          <w:szCs w:val="22"/>
        </w:rPr>
        <w:t xml:space="preserve">V-T: replacement therapy. Hemophilia treatment by factor replacement directly supplies the missing transferability: exogenous FVIII/FIX provides T = 1 for the coagulation cascade commitment. Extended half-life factors and gene therapy maintain T correction durably.</w:t>
      </w:r>
    </w:p>
    <w:p>
      <w:pPr>
        <w:pStyle w:val="ListParagraph"/>
        <w:numPr>
          <w:ilvl w:val="0"/>
          <w:numId w:val="2"/>
        </w:numPr>
        <w:spacing w:before="80" w:after="80"/>
      </w:pPr>
      <w:r>
        <w:rPr>
          <w:rFonts w:ascii="Arial" w:cs="Arial" w:eastAsia="Arial" w:hAnsi="Arial"/>
          <w:sz w:val="22"/>
          <w:szCs w:val="22"/>
        </w:rPr>
        <w:t xml:space="preserve">V-A: structural support. Osteogenesis imperfecta treatment with bisphosphonates reduces bone resorption but does not correct the V-A defect. Genetic collagen correction remains the true V-A treatment.</w:t>
      </w:r>
    </w:p>
    <w:p>
      <w:pPr>
        <w:pStyle w:val="Heading1"/>
        <w:spacing w:before="440" w:after="200"/>
      </w:pPr>
      <w:r>
        <w:rPr>
          <w:rFonts w:ascii="Arial" w:cs="Arial" w:eastAsia="Arial" w:hAnsi="Arial"/>
          <w:b/>
          <w:bCs/>
          <w:color w:val="1F3864"/>
          <w:sz w:val="30"/>
          <w:szCs w:val="30"/>
        </w:rPr>
        <w:t xml:space="preserve">6. The Taxonomy as Diagnostic Tool</w:t>
      </w:r>
    </w:p>
    <w:p>
      <w:pPr>
        <w:spacing w:before="100" w:after="100"/>
        <w:jc w:val="both"/>
      </w:pPr>
      <w:r>
        <w:rPr>
          <w:rFonts w:ascii="Arial" w:cs="Arial" w:eastAsia="Arial" w:hAnsi="Arial"/>
          <w:sz w:val="22"/>
          <w:szCs w:val="22"/>
        </w:rPr>
        <w:t xml:space="preserve">The CM taxonomy does not replace clinical diagnosis. It organizes the mechanism underlying the diagnosis. A clinician diagnosing hypertension has identified the organ-level presentation; the CM taxonomy identifies the presentation as I-INC with II-MODULATE secondary, directing attention to the INC correction and MODULATE restoration that are the efficient treatment targets.</w:t>
      </w:r>
    </w:p>
    <w:p>
      <w:pPr>
        <w:spacing w:before="100" w:after="100"/>
        <w:jc w:val="both"/>
      </w:pPr>
      <w:r>
        <w:rPr>
          <w:rFonts w:ascii="Arial" w:cs="Arial" w:eastAsia="Arial" w:hAnsi="Arial"/>
          <w:sz w:val="22"/>
          <w:szCs w:val="22"/>
        </w:rPr>
        <w:t xml:space="preserve">The diagnostic protocol derived from the taxonomy follows the JUMP Protocol (Isong et al., 2026) applied to pathological commitment systems:</w:t>
      </w:r>
    </w:p>
    <w:p>
      <w:pPr>
        <w:pStyle w:val="ListParagraph"/>
        <w:numPr>
          <w:ilvl w:val="0"/>
          <w:numId w:val="3"/>
        </w:numPr>
        <w:spacing w:before="80" w:after="80"/>
      </w:pPr>
      <w:r>
        <w:rPr>
          <w:rFonts w:ascii="Arial" w:cs="Arial" w:eastAsia="Arial" w:hAnsi="Arial"/>
          <w:sz w:val="22"/>
          <w:szCs w:val="22"/>
        </w:rPr>
        <w:t xml:space="preserve">Identify the transition or state: is the disease characterized by a discrete transition (I-JMP), gradual drift (I-INC), identity misalignment (I-ROT), failure to restore (I-RPR), commitment destruction (I-ANL), incorrect initialization (V), or Fabric coordinate deviation (III)?</w:t>
      </w:r>
    </w:p>
    <w:p>
      <w:pPr>
        <w:pStyle w:val="ListParagraph"/>
        <w:numPr>
          <w:ilvl w:val="0"/>
          <w:numId w:val="3"/>
        </w:numPr>
        <w:spacing w:before="80" w:after="80"/>
      </w:pPr>
      <w:r>
        <w:rPr>
          <w:rFonts w:ascii="Arial" w:cs="Arial" w:eastAsia="Arial" w:hAnsi="Arial"/>
          <w:sz w:val="22"/>
          <w:szCs w:val="22"/>
        </w:rPr>
        <w:t xml:space="preserve">Identify the control failure: which control function is absent or impaired? TEST, MONITOR, NEGOTIATE, SCRIBE, SECURE, or MODULATE? The control failure is often upstream of the Axis I manifestation.</w:t>
      </w:r>
    </w:p>
    <w:p>
      <w:pPr>
        <w:pStyle w:val="ListParagraph"/>
        <w:numPr>
          <w:ilvl w:val="0"/>
          <w:numId w:val="3"/>
        </w:numPr>
        <w:spacing w:before="80" w:after="80"/>
      </w:pPr>
      <w:r>
        <w:rPr>
          <w:rFonts w:ascii="Arial" w:cs="Arial" w:eastAsia="Arial" w:hAnsi="Arial"/>
          <w:sz w:val="22"/>
          <w:szCs w:val="22"/>
        </w:rPr>
        <w:t xml:space="preserve">Identify the adversarial intrusion: is there an external agent performing COERCE, DECEIVE, EXTRACT, or SABOTAGE? If yes, the defense must be strengthened before the internal operation restoration will succeed.</w:t>
      </w:r>
    </w:p>
    <w:p>
      <w:pPr>
        <w:pStyle w:val="ListParagraph"/>
        <w:numPr>
          <w:ilvl w:val="0"/>
          <w:numId w:val="3"/>
        </w:numPr>
        <w:spacing w:before="80" w:after="80"/>
      </w:pPr>
      <w:r>
        <w:rPr>
          <w:rFonts w:ascii="Arial" w:cs="Arial" w:eastAsia="Arial" w:hAnsi="Arial"/>
          <w:sz w:val="22"/>
          <w:szCs w:val="22"/>
        </w:rPr>
        <w:t xml:space="preserve">Map the dependency graph: which commitments derive from the primary pathological commitment? The cascade risk (Theorem 10.1) determines which downstream systems are at risk. Treatment priority follows the dependency depth: root commitments first.</w:t>
      </w:r>
    </w:p>
    <w:p>
      <w:pPr>
        <w:pStyle w:val="ListParagraph"/>
        <w:numPr>
          <w:ilvl w:val="0"/>
          <w:numId w:val="3"/>
        </w:numPr>
        <w:spacing w:before="80" w:after="80"/>
      </w:pPr>
      <w:r>
        <w:rPr>
          <w:rFonts w:ascii="Arial" w:cs="Arial" w:eastAsia="Arial" w:hAnsi="Arial"/>
          <w:sz w:val="22"/>
          <w:szCs w:val="22"/>
        </w:rPr>
        <w:t xml:space="preserve">Identify the conservation constraint: what is the fallback structure? Preventing a JUMP without accounting for where the bound system’s potential is redirected creates secondary pathology. Tumor lysis syndrome is the fallback consequence of successful anti-cancer JUMP prevention: the tumor’s metabolic and nucleic acid potential releases acutely into the bloodstream.</w:t>
      </w:r>
    </w:p>
    <w:p>
      <w:pPr>
        <w:spacing w:before="80" w:after="80"/>
      </w:pPr>
      <w:r>
        <w:t xml:space="preserve"/>
      </w:r>
    </w:p>
    <w:p>
      <w:pPr>
        <w:spacing w:before="100" w:after="100"/>
        <w:jc w:val="both"/>
      </w:pPr>
      <w:r>
        <w:rPr>
          <w:rFonts w:ascii="Arial" w:cs="Arial" w:eastAsia="Arial" w:hAnsi="Arial"/>
          <w:sz w:val="22"/>
          <w:szCs w:val="22"/>
        </w:rPr>
        <w:t xml:space="preserve">This protocol is substrate-independent. A psychiatrist applies it to neural commitment systems. A cardiologist applies it to cardiac commitment systems. An oncologist applies it to somatic commitment systems. The language is different; the structure is identical.</w:t>
      </w:r>
    </w:p>
    <w:p>
      <w:pPr>
        <w:pStyle w:val="Heading1"/>
        <w:spacing w:before="440" w:after="200"/>
      </w:pPr>
      <w:r>
        <w:rPr>
          <w:rFonts w:ascii="Arial" w:cs="Arial" w:eastAsia="Arial" w:hAnsi="Arial"/>
          <w:b/>
          <w:bCs/>
          <w:color w:val="1F3864"/>
          <w:sz w:val="30"/>
          <w:szCs w:val="30"/>
        </w:rPr>
        <w:t xml:space="preserve">7. Open Research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RQ-DX1: </w:t>
            </w:r>
            <w:r>
              <w:rPr>
                <w:rFonts w:ascii="Arial" w:cs="Arial" w:eastAsia="Arial" w:hAnsi="Arial"/>
                <w:b/>
                <w:bCs/>
                <w:sz w:val="22"/>
                <w:szCs w:val="22"/>
              </w:rPr>
              <w:t xml:space="preserve">Can the Fabric coordinates (D, μ, λ) be measured directly in biological commitment systems, and do they predict disease axis independently of clinical presentation?</w:t>
            </w:r>
          </w:p>
          <w:p>
            <w:pPr>
              <w:spacing w:before="0" w:after="80"/>
              <w:jc w:val="both"/>
            </w:pPr>
            <w:r>
              <w:rPr>
                <w:rFonts w:ascii="Arial" w:cs="Arial" w:eastAsia="Arial" w:hAnsi="Arial"/>
                <w:sz w:val="21"/>
                <w:szCs w:val="21"/>
              </w:rPr>
              <w:t xml:space="preserve">D_local = A (assurance), μ_local = Rₒ × Tᵣ × S × Rₑ × I, λ_local = T. These can in principle be measured at the cellular level: A from structural coherence metrics (cell adhesion force, ECM integrity), μ from epigenetic state fidelity (CpG methylation array coherence), T from metabolic transfer rates. If measured Fabric coordinates predict which disease axis will manifest — before clinical symptoms appear — the taxonomy provides predictive biomarkers, not just retrospective classification.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RQ-DX2: </w:t>
            </w:r>
            <w:r>
              <w:rPr>
                <w:rFonts w:ascii="Arial" w:cs="Arial" w:eastAsia="Arial" w:hAnsi="Arial"/>
                <w:b/>
                <w:bCs/>
                <w:sz w:val="22"/>
                <w:szCs w:val="22"/>
              </w:rPr>
              <w:t xml:space="preserve">Do composite diseases (multiple axes) exhibit a consistent axis activation sequence, and does the sequence predict disease trajectory?</w:t>
            </w:r>
          </w:p>
          <w:p>
            <w:pPr>
              <w:spacing w:before="0" w:after="80"/>
              <w:jc w:val="both"/>
            </w:pPr>
            <w:r>
              <w:rPr>
                <w:rFonts w:ascii="Arial" w:cs="Arial" w:eastAsia="Arial" w:hAnsi="Arial"/>
                <w:sz w:val="21"/>
                <w:szCs w:val="21"/>
              </w:rPr>
              <w:t xml:space="preserve">In Alzheimer’s disease, the CM cascade predicts: II-SCRIBE failure → III-μ degradation → IV-DECEIVE spread → II-MONITOR failure → complete collapse. If this sequence is confirmed in longitudinal biomarker data (synaptic protein loss, tau spread, MMSE decline), the taxonomy predicts which axis will be active at each clinical stage and which intervention is appropriate at each stage. The same analysis applies to cancer progression (II-TEST → I-JMP → IV-DECEIVE → II-MONITOR evasion) and metabolic syndrome (I-INC → II-MODULATE → III-λ → I-JMP).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RQ-DX3: </w:t>
            </w:r>
            <w:r>
              <w:rPr>
                <w:rFonts w:ascii="Arial" w:cs="Arial" w:eastAsia="Arial" w:hAnsi="Arial"/>
                <w:b/>
                <w:bCs/>
                <w:sz w:val="22"/>
                <w:szCs w:val="22"/>
              </w:rPr>
              <w:t xml:space="preserve">Is the μ_critical threshold (1/(2e) ≈ 0.184) detectable in neural systems, and does crossing it correspond to the clinical threshold between mild cognitive impairment and dementia?</w:t>
            </w:r>
          </w:p>
          <w:p>
            <w:pPr>
              <w:spacing w:before="0" w:after="80"/>
              <w:jc w:val="both"/>
            </w:pPr>
            <w:r>
              <w:rPr>
                <w:rFonts w:ascii="Arial" w:cs="Arial" w:eastAsia="Arial" w:hAnsi="Arial"/>
                <w:sz w:val="21"/>
                <w:szCs w:val="21"/>
              </w:rPr>
              <w:t xml:space="preserve">CM predicts that MONITOR ceases to exist when μ_sys &lt; μ_critical = 1/(2e). In neural systems, this would manifest as the loss of metacognitive capacity — the inability to know that one does not know. Anosognosia in Alzheimer’s is the clinical presentation of this MONITOR failure. If a neural μ_sys measure (e.g., derived from functional connectivity coherence in resting-state fMRI) crosses 1/(2e) at the point where anosognosia develops, this constitutes a direct experimental test of the CM framework’s μ_critical constant in a biological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RQ-DX4: </w:t>
            </w:r>
            <w:r>
              <w:rPr>
                <w:rFonts w:ascii="Arial" w:cs="Arial" w:eastAsia="Arial" w:hAnsi="Arial"/>
                <w:b/>
                <w:bCs/>
                <w:sz w:val="22"/>
                <w:szCs w:val="22"/>
              </w:rPr>
              <w:t xml:space="preserve">Do Axis IV-DECEIVE diseases exhibit μ-dependent penetrance, as predicted by p_deceive = e^(-ln2·μ)?</w:t>
            </w:r>
          </w:p>
          <w:p>
            <w:pPr>
              <w:spacing w:before="0" w:after="80"/>
              <w:jc w:val="both"/>
            </w:pPr>
            <w:r>
              <w:rPr>
                <w:rFonts w:ascii="Arial" w:cs="Arial" w:eastAsia="Arial" w:hAnsi="Arial"/>
                <w:sz w:val="21"/>
                <w:szCs w:val="21"/>
              </w:rPr>
              <w:t xml:space="preserve">The CM formula for DECEIVE effectiveness is p_deceive = e^(-ln2·μ): DECEIVE succeeds more easily when μ is low. This predicts that viral infections (IV-DECEIVE) are more severe in hosts with degraded cellular μ (immunocompromised patients, elderly with age-related μ decline, cancer patients on chemotherapy). The specific prediction is not merely that immunocompromised patients are more vulnerable — this is known. It is that vulnerability scales with the specific formula e^(-ln2·μ), where μ is measured by the cellular memory fidelity metric of Definition A1.3. If the severity distribution of viral infection in a population matches this functional form, the CM formula is validated.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RQ-DX5: </w:t>
            </w:r>
            <w:r>
              <w:rPr>
                <w:rFonts w:ascii="Arial" w:cs="Arial" w:eastAsia="Arial" w:hAnsi="Arial"/>
                <w:b/>
                <w:bCs/>
                <w:sz w:val="22"/>
                <w:szCs w:val="22"/>
              </w:rPr>
              <w:t xml:space="preserve">Can the 50% value attenuation per dependency depth (Theorem 10.1) be observed in disease cascade propagation, and does it predict which downstream commitments are at risk after a primary commitment fails?</w:t>
            </w:r>
          </w:p>
          <w:p>
            <w:pPr>
              <w:spacing w:before="0" w:after="80"/>
              <w:jc w:val="both"/>
            </w:pPr>
            <w:r>
              <w:rPr>
                <w:rFonts w:ascii="Arial" w:cs="Arial" w:eastAsia="Arial" w:hAnsi="Arial"/>
                <w:sz w:val="21"/>
                <w:szCs w:val="21"/>
              </w:rPr>
              <w:t xml:space="preserve">Theorem 10.1 predicts CV(C_n) ≤ e^(-kn) · min_i CV(C_i) with k = ln 2: 50% attenuation per depth. In an organ failure cascade (e.g., acute liver failure leading to hepatorenal syndrome, hepatic encephalopathy, and coagulopathy), the depth at which each secondary failure occurs should predict its severity relative to the primary failure. If hepatic failure is d = 0, renal failure at d = 1 should be approximately 50% as severe in equivalent units, and coagulopathy at d = 1 should also be 50%, while deep neurological complications at d = 2 should be at most 25%. Testing this prediction requires a shared unit of commitment value across organ systems — an active research question.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RQ-DX6: </w:t>
            </w:r>
            <w:r>
              <w:rPr>
                <w:rFonts w:ascii="Arial" w:cs="Arial" w:eastAsia="Arial" w:hAnsi="Arial"/>
                <w:b/>
                <w:bCs/>
                <w:sz w:val="22"/>
                <w:szCs w:val="22"/>
              </w:rPr>
              <w:t xml:space="preserve">Does the CM taxonomy predict treatment response better than organ-system or pathogen-class classification, and can it identify treatment-resistant cases by axis?</w:t>
            </w:r>
          </w:p>
          <w:p>
            <w:pPr>
              <w:spacing w:before="0" w:after="80"/>
              <w:jc w:val="both"/>
            </w:pPr>
            <w:r>
              <w:rPr>
                <w:rFonts w:ascii="Arial" w:cs="Arial" w:eastAsia="Arial" w:hAnsi="Arial"/>
                <w:sz w:val="21"/>
                <w:szCs w:val="21"/>
              </w:rPr>
              <w:t xml:space="preserve">The taxonomy predicts that treatment targeted at the correct axis will succeed and treatment targeted at the wrong axis will fail at population scale. Specifically: Axis I-JMP cancers with intact II-TEST should respond to checkpoint immunotherapy (restoring MONITOR to detect the JMP); cancers with disrupted II-TEST should not respond to checkpoint therapy alone because the TEST failure permits continuous new JMPs regardless of MONITOR status. This is the molecular basis of primary immunotherapy resistance. If axis classification predicts immunotherapy response better than tumor mutation burden or PD-L1 expression, the CM taxonomy provides a superior treatment selection framework.</w:t>
            </w:r>
          </w:p>
        </w:tc>
      </w:tr>
    </w:tbl>
    <w:p>
      <w:pPr>
        <w:spacing w:before="80" w:after="80"/>
      </w:pPr>
      <w:r>
        <w:t xml:space="preserve"/>
      </w:r>
    </w:p>
    <w:p>
      <w:pPr>
        <w:pStyle w:val="Heading1"/>
        <w:spacing w:before="440" w:after="200"/>
      </w:pPr>
      <w:r>
        <w:rPr>
          <w:rFonts w:ascii="Arial" w:cs="Arial" w:eastAsia="Arial" w:hAnsi="Arial"/>
          <w:b/>
          <w:bCs/>
          <w:color w:val="1F3864"/>
          <w:sz w:val="30"/>
          <w:szCs w:val="30"/>
        </w:rPr>
        <w:t xml:space="preserve">8. Conclusion</w:t>
      </w:r>
    </w:p>
    <w:p>
      <w:pPr>
        <w:spacing w:before="100" w:after="100"/>
        <w:jc w:val="both"/>
      </w:pPr>
      <w:r>
        <w:rPr>
          <w:rFonts w:ascii="Arial" w:cs="Arial" w:eastAsia="Arial" w:hAnsi="Arial"/>
          <w:sz w:val="22"/>
          <w:szCs w:val="22"/>
        </w:rPr>
        <w:t xml:space="preserve">The CM taxonomy of disease reorganizes pathology around five axes derived from the operational structure of Commitment Mathematics: Operation Failure (Axis I), Control Absence (Axis II), Fabric Degradation (Axis III), Adversarial Intrusion (Axis IV), and Initialization Defect (Axis V). These axes are not descriptive categories but formal structural classes: each corresponds to a specific violation of the CM operational architecture, each implies a specific intervention target, and each generates testable predictions about disease trajectory and treatment response.</w:t>
      </w:r>
    </w:p>
    <w:p>
      <w:pPr>
        <w:spacing w:before="100" w:after="100"/>
        <w:jc w:val="both"/>
      </w:pPr>
      <w:r>
        <w:rPr>
          <w:rFonts w:ascii="Arial" w:cs="Arial" w:eastAsia="Arial" w:hAnsi="Arial"/>
          <w:sz w:val="22"/>
          <w:szCs w:val="22"/>
        </w:rPr>
        <w:t xml:space="preserve">The taxonomy is substrate-independent. The same five axes apply to cellular commitment systems (molecular disease), organ-level commitment systems (physiological disease), neural commitment systems (neurological and psychiatric disease), and systemic commitment systems (metabolic and immunological disease). The language of different medical specialties describes different substrates instantiating the same relational structures.</w:t>
      </w:r>
    </w:p>
    <w:p>
      <w:pPr>
        <w:spacing w:before="100" w:after="100"/>
        <w:jc w:val="both"/>
      </w:pPr>
      <w:r>
        <w:rPr>
          <w:rFonts w:ascii="Arial" w:cs="Arial" w:eastAsia="Arial" w:hAnsi="Arial"/>
          <w:sz w:val="22"/>
          <w:szCs w:val="22"/>
        </w:rPr>
        <w:t xml:space="preserve">Three contributions distinguish the CM taxonomy from existing disease classifications:</w:t>
      </w:r>
    </w:p>
    <w:p>
      <w:pPr>
        <w:pStyle w:val="ListParagraph"/>
        <w:numPr>
          <w:ilvl w:val="0"/>
          <w:numId w:val="3"/>
        </w:numPr>
        <w:spacing w:before="80" w:after="80"/>
      </w:pPr>
      <w:r>
        <w:rPr>
          <w:rFonts w:ascii="Arial" w:cs="Arial" w:eastAsia="Arial" w:hAnsi="Arial"/>
          <w:sz w:val="22"/>
          <w:szCs w:val="22"/>
        </w:rPr>
        <w:t xml:space="preserve">Mechanistic unity: diseases that appear unrelated under organ-system classification are revealed as instances of the same axis. Metabolic syndrome components are all I-INC. All hereditary cancer syndromes are II-TEST failures permitting I-JMP. All dementias progress through the same III-μ degradation pathway. This unity implies that mechanism-specific therapies developed for one disease in a class should generalize to others in the same class.</w:t>
      </w:r>
    </w:p>
    <w:p>
      <w:pPr>
        <w:pStyle w:val="ListParagraph"/>
        <w:numPr>
          <w:ilvl w:val="0"/>
          <w:numId w:val="3"/>
        </w:numPr>
        <w:spacing w:before="80" w:after="80"/>
      </w:pPr>
      <w:r>
        <w:rPr>
          <w:rFonts w:ascii="Arial" w:cs="Arial" w:eastAsia="Arial" w:hAnsi="Arial"/>
          <w:sz w:val="22"/>
          <w:szCs w:val="22"/>
        </w:rPr>
        <w:t xml:space="preserve">Composite disease structure: multi-axis diseases have a primary axis and secondary axes. The primary axis is the efficient treatment target. Secondary axes are amplifiers and consequences. Treating secondary axes without addressing the primary axis explains why many current therapies improve symptoms without altering disease trajectory.</w:t>
      </w:r>
    </w:p>
    <w:p>
      <w:pPr>
        <w:pStyle w:val="ListParagraph"/>
        <w:numPr>
          <w:ilvl w:val="0"/>
          <w:numId w:val="3"/>
        </w:numPr>
        <w:spacing w:before="80" w:after="80"/>
      </w:pPr>
      <w:r>
        <w:rPr>
          <w:rFonts w:ascii="Arial" w:cs="Arial" w:eastAsia="Arial" w:hAnsi="Arial"/>
          <w:sz w:val="22"/>
          <w:szCs w:val="22"/>
        </w:rPr>
        <w:t xml:space="preserve">The treatment prediction: each axis implies a specific treatment target and predicts which single-axis treatments will fail. Chemotherapy failing because it targets the bound system rather than the memory carrier (I-JMP). Antihypertensives failing to prevent metabolic syndrome progression because they address I-INC without the underlying II-MODULATE failure. The taxonomy’s predictions are falsifiable against clinical trial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3"/>
              <w:left w:val="single" w:color="1E6B3C" w:sz="20"/>
              <w:bottom w:val="single" w:color="1E6B3C" w:sz="3"/>
              <w:right w:val="single" w:color="1E6B3C" w:sz="3"/>
            </w:tcBorders>
            <w:shd w:fill="F0FAF4" w:val="clear"/>
            <w:tcMar>
              <w:top w:type="dxa" w:w="180"/>
              <w:left w:type="dxa" w:w="280"/>
              <w:bottom w:type="dxa" w:w="180"/>
              <w:right w:type="dxa" w:w="280"/>
            </w:tcMar>
          </w:tcPr>
          <w:p>
            <w:pPr>
              <w:spacing w:before="80" w:after="80"/>
              <w:jc w:val="both"/>
            </w:pPr>
            <w:r>
              <w:rPr>
                <w:rFonts w:ascii="Arial" w:cs="Arial" w:eastAsia="Arial" w:hAnsi="Arial"/>
                <w:b/>
                <w:bCs/>
                <w:color w:val="1E6B3C"/>
                <w:sz w:val="22"/>
                <w:szCs w:val="22"/>
              </w:rPr>
              <w:t xml:space="preserve">Central claim: </w:t>
            </w:r>
            <w:r>
              <w:rPr>
                <w:rFonts w:ascii="Arial" w:cs="Arial" w:eastAsia="Arial" w:hAnsi="Arial"/>
                <w:sz w:val="22"/>
                <w:szCs w:val="22"/>
              </w:rPr>
              <w:t xml:space="preserve">Disease is not a failure of an organ, a pathogen’s presence, or a gene’s malfunction. Disease is a commitment system operating outside its permitted domain. The CM taxonomy identifies which domain constraint has been violated, names it precisely, and derives from that identification both the correct treatment target and the prediction of what happens when the wrong target is treated. This is the contribution of relational ontology to medicine: not a new set of facts, but the correct structure within which existing facts become actionable.</w:t>
            </w:r>
          </w:p>
        </w:tc>
      </w:tr>
    </w:tbl>
    <w:p>
      <w:pPr>
        <w:spacing w:before="80" w:after="80"/>
      </w:pPr>
      <w:r>
        <w:t xml:space="preserve"/>
      </w:r>
    </w:p>
    <w:p>
      <w:pPr>
        <w:pBdr>
          <w:bottom w:val="single" w:color="2E75B6" w:sz="6" w:space="1"/>
        </w:pBdr>
        <w:spacing w:before="200" w:after="200"/>
      </w:pPr>
      <w:r>
        <w:t xml:space="preserve"/>
      </w:r>
    </w:p>
    <w:p>
      <w:pPr>
        <w:spacing w:before="60" w:after="60"/>
      </w:pPr>
      <w:r>
        <w:t xml:space="preserve"/>
      </w:r>
    </w:p>
    <w:p>
      <w:pPr>
        <w:pStyle w:val="Heading1"/>
        <w:spacing w:before="440" w:after="200"/>
      </w:pPr>
      <w:r>
        <w:rPr>
          <w:rFonts w:ascii="Arial" w:cs="Arial" w:eastAsia="Arial" w:hAnsi="Arial"/>
          <w:b/>
          <w:bCs/>
          <w:color w:val="1F3864"/>
          <w:sz w:val="30"/>
          <w:szCs w:val="30"/>
        </w:rPr>
        <w:t xml:space="preserve">References</w:t>
      </w:r>
    </w:p>
    <w:p>
      <w:pPr>
        <w:spacing w:before="100" w:after="100"/>
        <w:jc w:val="both"/>
      </w:pPr>
      <w:r>
        <w:rPr>
          <w:rFonts w:ascii="Arial" w:cs="Arial" w:eastAsia="Arial" w:hAnsi="Arial"/>
          <w:sz w:val="22"/>
          <w:szCs w:val="22"/>
        </w:rPr>
        <w:t xml:space="preserve">Isong, O.B., DeepSeek, Claude (2026). The Photoelectric Effect: A JUMP Operation in Coupling Mode under Commitment Mathematics. Genie Capital Ltd.</w:t>
      </w:r>
    </w:p>
    <w:p>
      <w:pPr>
        <w:spacing w:before="100" w:after="100"/>
        <w:jc w:val="both"/>
      </w:pPr>
      <w:r>
        <w:rPr>
          <w:rFonts w:ascii="Arial" w:cs="Arial" w:eastAsia="Arial" w:hAnsi="Arial"/>
          <w:sz w:val="22"/>
          <w:szCs w:val="22"/>
        </w:rPr>
        <w:t xml:space="preserve">Isong, O.B., DeepSeek, Claude (2026). Memory Carriers, JUMP Operations, and the Discrete Onset of Extreme Weather. Genie Capital Ltd.</w:t>
      </w:r>
    </w:p>
    <w:p>
      <w:pPr>
        <w:spacing w:before="100" w:after="100"/>
        <w:jc w:val="both"/>
      </w:pPr>
      <w:r>
        <w:rPr>
          <w:rFonts w:ascii="Arial" w:cs="Arial" w:eastAsia="Arial" w:hAnsi="Arial"/>
          <w:sz w:val="22"/>
          <w:szCs w:val="22"/>
        </w:rPr>
        <w:t xml:space="preserve">Isong, O.B., DeepSeek, Claude (2026). Precipitation as Cascaded JUMP Operations. Genie Capital Ltd.</w:t>
      </w:r>
    </w:p>
    <w:p>
      <w:pPr>
        <w:spacing w:before="100" w:after="100"/>
        <w:jc w:val="both"/>
      </w:pPr>
      <w:r>
        <w:rPr>
          <w:rFonts w:ascii="Arial" w:cs="Arial" w:eastAsia="Arial" w:hAnsi="Arial"/>
          <w:sz w:val="22"/>
          <w:szCs w:val="22"/>
        </w:rPr>
        <w:t xml:space="preserve">Isong, O.B., DeepSeek, Claude (2026). The JUMP Protocol: A General Protocol for Identifying Discrete State Transitions in Science. Genie Capital Ltd.</w:t>
      </w:r>
    </w:p>
    <w:p>
      <w:pPr>
        <w:spacing w:before="100" w:after="100"/>
        <w:jc w:val="both"/>
      </w:pPr>
      <w:r>
        <w:rPr>
          <w:rFonts w:ascii="Arial" w:cs="Arial" w:eastAsia="Arial" w:hAnsi="Arial"/>
          <w:sz w:val="22"/>
          <w:szCs w:val="22"/>
        </w:rPr>
        <w:t xml:space="preserve">Isong, O.B. (2026). Commitment Mathematics: Complete Formalism 4.0. Genie Capital Ltd.</w:t>
      </w:r>
    </w:p>
    <w:p>
      <w:pPr>
        <w:spacing w:before="100" w:after="100"/>
        <w:jc w:val="both"/>
      </w:pPr>
      <w:r>
        <w:rPr>
          <w:rFonts w:ascii="Arial" w:cs="Arial" w:eastAsia="Arial" w:hAnsi="Arial"/>
          <w:sz w:val="22"/>
          <w:szCs w:val="22"/>
        </w:rPr>
        <w:t xml:space="preserve">Isong, O.B. (2026). Commitment Mathematics Addendum 1: Formal Resolutions. Genie Capital Ltd.</w:t>
      </w:r>
    </w:p>
    <w:p>
      <w:pPr>
        <w:spacing w:before="100" w:after="100"/>
        <w:jc w:val="both"/>
      </w:pPr>
      <w:r>
        <w:rPr>
          <w:rFonts w:ascii="Arial" w:cs="Arial" w:eastAsia="Arial" w:hAnsi="Arial"/>
          <w:sz w:val="22"/>
          <w:szCs w:val="22"/>
        </w:rPr>
        <w:t xml:space="preserve">Isong, O.B. (2026). From 1D to 6D: The Relational Foundation of Reality. Genie Capital Ltd.</w:t>
      </w:r>
    </w:p>
    <w:p>
      <w:pPr>
        <w:spacing w:before="100" w:after="100"/>
        <w:jc w:val="both"/>
      </w:pPr>
      <w:r>
        <w:rPr>
          <w:rFonts w:ascii="Arial" w:cs="Arial" w:eastAsia="Arial" w:hAnsi="Arial"/>
          <w:sz w:val="22"/>
          <w:szCs w:val="22"/>
        </w:rPr>
        <w:t xml:space="preserve">Hanahan, D. &amp; Weinberg, R.A. (2011). Hallmarks of cancer: the next generation. Cell, 144(5), 646–674.</w:t>
      </w:r>
    </w:p>
    <w:p>
      <w:pPr>
        <w:spacing w:before="100" w:after="100"/>
        <w:jc w:val="both"/>
      </w:pPr>
      <w:r>
        <w:rPr>
          <w:rFonts w:ascii="Arial" w:cs="Arial" w:eastAsia="Arial" w:hAnsi="Arial"/>
          <w:sz w:val="22"/>
          <w:szCs w:val="22"/>
        </w:rPr>
        <w:t xml:space="preserve">Bartel, D.P. (2009). MicroRNAs: target recognition and regulatory functions. Cell, 136(2), 215–233.</w:t>
      </w:r>
    </w:p>
    <w:p>
      <w:pPr>
        <w:spacing w:before="100" w:after="100"/>
        <w:jc w:val="both"/>
      </w:pPr>
      <w:r>
        <w:rPr>
          <w:rFonts w:ascii="Arial" w:cs="Arial" w:eastAsia="Arial" w:hAnsi="Arial"/>
          <w:sz w:val="22"/>
          <w:szCs w:val="22"/>
        </w:rPr>
        <w:t xml:space="preserve">Prusiner, S.B. (1998). Prions. Proceedings of the National Academy of Sciences, 95(23), 13363–13383.</w:t>
      </w:r>
    </w:p>
    <w:p>
      <w:pPr>
        <w:spacing w:before="100" w:after="100"/>
        <w:jc w:val="both"/>
      </w:pPr>
      <w:r>
        <w:rPr>
          <w:rFonts w:ascii="Arial" w:cs="Arial" w:eastAsia="Arial" w:hAnsi="Arial"/>
          <w:sz w:val="22"/>
          <w:szCs w:val="22"/>
        </w:rPr>
        <w:t xml:space="preserve">Karch, C.M. &amp; Goate, A.M. (2015). Alzheimer’s disease risk genes and mechanisms of disease pathogenesis. Biological Psychiatry, 77(1), 43–51.</w:t>
      </w:r>
    </w:p>
    <w:p>
      <w:pPr>
        <w:spacing w:before="100" w:after="100"/>
        <w:jc w:val="both"/>
      </w:pPr>
      <w:r>
        <w:rPr>
          <w:rFonts w:ascii="Arial" w:cs="Arial" w:eastAsia="Arial" w:hAnsi="Arial"/>
          <w:sz w:val="22"/>
          <w:szCs w:val="22"/>
        </w:rPr>
        <w:t xml:space="preserve">Alberti, K.G.M.M. &amp; Zimmet, P.Z. (1998). Definition, diagnosis and classification of diabetes mellitus and its complications. Diabetic Medicine, 15(7), 539–553.</w:t>
      </w:r>
    </w:p>
    <w:p>
      <w:pPr>
        <w:spacing w:before="100" w:after="100"/>
        <w:jc w:val="both"/>
      </w:pPr>
      <w:r>
        <w:rPr>
          <w:rFonts w:ascii="Arial" w:cs="Arial" w:eastAsia="Arial" w:hAnsi="Arial"/>
          <w:sz w:val="22"/>
          <w:szCs w:val="22"/>
        </w:rPr>
        <w:t xml:space="preserve">Bhatt, D.L. et al. (2002). International prevalence, recognition, and treatment of cardiovascular risk factors in outpatients with atherothrombosis. JAMA, 288(22), 2829–2840.</w:t>
      </w:r>
    </w:p>
    <w:p>
      <w:pPr>
        <w:spacing w:before="100" w:after="100"/>
        <w:jc w:val="both"/>
      </w:pPr>
      <w:r>
        <w:rPr>
          <w:rFonts w:ascii="Arial" w:cs="Arial" w:eastAsia="Arial" w:hAnsi="Arial"/>
          <w:sz w:val="22"/>
          <w:szCs w:val="22"/>
        </w:rPr>
        <w:t xml:space="preserve">Medzhitov, R. (2008). Origin and physiological roles of inflammation. Nature, 454(7203), 428–435.</w:t>
      </w:r>
    </w:p>
    <w:p>
      <w:pPr>
        <w:spacing w:before="100" w:after="100"/>
        <w:jc w:val="both"/>
      </w:pPr>
      <w:r>
        <w:rPr>
          <w:rFonts w:ascii="Arial" w:cs="Arial" w:eastAsia="Arial" w:hAnsi="Arial"/>
          <w:sz w:val="22"/>
          <w:szCs w:val="22"/>
        </w:rPr>
        <w:t xml:space="preserve">WHO (2022). International Classification of Diseases, 11th Revision (ICD-11). World Health Organization.</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Genie Capital Ltd  •  ottobeseka@geniecapital.co  •  A Commitment Mathematics Taxonomy of Disease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F3864"/>
      <w:sz w:val="30"/>
      <w:szCs w:val="30"/>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2026-02-15T07:56:18.406Z</dcterms:created>
  <dcterms:modified xsi:type="dcterms:W3CDTF">2026-02-15T07:56:18.407Z</dcterms:modified>
</cp:coreProperties>
</file>

<file path=docProps/custom.xml><?xml version="1.0" encoding="utf-8"?>
<Properties xmlns="http://schemas.openxmlformats.org/officeDocument/2006/custom-properties" xmlns:vt="http://schemas.openxmlformats.org/officeDocument/2006/docPropsVTypes"/>
</file>