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left"/>
      </w:pPr>
      <w:r>
        <w:rPr>
          <w:rFonts w:ascii="Arial" w:cs="Arial" w:eastAsia="Arial" w:hAnsi="Arial"/>
          <w:b/>
          <w:bCs/>
          <w:color w:val="1F4E79"/>
          <w:sz w:val="56"/>
          <w:szCs w:val="56"/>
        </w:rPr>
        <w:t xml:space="preserve">The Rate Asymmetry</w:t>
      </w:r>
    </w:p>
    <w:p>
      <w:pPr>
        <w:spacing w:before="0" w:after="80"/>
      </w:pPr>
      <w:r>
        <w:rPr>
          <w:rFonts w:ascii="Arial" w:cs="Arial" w:eastAsia="Arial" w:hAnsi="Arial"/>
          <w:i/>
          <w:iCs/>
          <w:color w:val="2E75B6"/>
          <w:sz w:val="32"/>
          <w:szCs w:val="32"/>
        </w:rPr>
        <w:t xml:space="preserve">An Ontological Foundation for Economics</w:t>
      </w:r>
    </w:p>
    <w:p>
      <w:pPr>
        <w:pBdr>
          <w:bottom w:val="single" w:color="1F4E79" w:sz="8" w:space="6"/>
        </w:pBdr>
        <w:spacing w:before="120" w:after="60"/>
      </w:pPr>
      <w:r>
        <w:rPr>
          <w:rFonts w:ascii="Arial" w:cs="Arial" w:eastAsia="Arial" w:hAnsi="Arial"/>
          <w:color w:val="595959"/>
          <w:sz w:val="20"/>
          <w:szCs w:val="20"/>
        </w:rPr>
        <w:t xml:space="preserve">Otto Beseka Isong  •  Genie Capital Ltd  •  ottobeseka@geniecapital.co</w:t>
      </w:r>
    </w:p>
    <w:p>
      <w:pPr>
        <w:spacing w:before="0" w:after="80"/>
      </w:pPr>
      <w:r>
        <w:t xml:space="preserve"/>
      </w:r>
    </w:p>
    <w:p>
      <w:pPr>
        <w:pBdr>
          <w:top w:val="single" w:color="2E75B6" w:sz="6" w:space="6"/>
          <w:bottom w:val="single" w:color="2E75B6" w:sz="6" w:space="6"/>
          <w:left w:val="single" w:color="2E75B6" w:sz="6" w:space="6"/>
          <w:right w:val="single" w:color="2E75B6" w:sz="6" w:space="6"/>
        </w:pBdr>
        <w:shd w:fill="D6E4F0" w:val="clear"/>
        <w:spacing w:before="160" w:after="80"/>
        <w:ind w:left="360" w:right="360"/>
      </w:pPr>
      <w:r>
        <w:rPr>
          <w:rFonts w:ascii="Arial" w:cs="Arial" w:eastAsia="Arial" w:hAnsi="Arial"/>
          <w:b/>
          <w:bCs/>
          <w:color w:val="1F4E79"/>
          <w:sz w:val="22"/>
          <w:szCs w:val="22"/>
        </w:rPr>
        <w:t xml:space="preserve">Abstract</w:t>
      </w:r>
    </w:p>
    <w:p>
      <w:pPr>
        <w:spacing w:before="0" w:after="160"/>
        <w:ind w:left="360" w:right="360"/>
        <w:jc w:val="both"/>
      </w:pPr>
      <w:r>
        <w:rPr>
          <w:rFonts w:ascii="Arial" w:cs="Arial" w:eastAsia="Arial" w:hAnsi="Arial"/>
          <w:i/>
          <w:iCs/>
          <w:color w:val="1A1A1A"/>
          <w:sz w:val="21"/>
          <w:szCs w:val="21"/>
        </w:rPr>
        <w:t xml:space="preserve">Economics has operated without an ontological foundation. It measures value as a scalar, treats resources as stocks, and models exchange as if the conversion of one form of value to another were symmetric. This document identifies the fundamental asymmetry that traditional economics cannot see: the Earth converts Pulse (dynamical excitation) into Defense (structural coherence) and Memory (content fidelity) over millions of years. Human economic activity converts Defense and Memory back into Pulse in days to years. This rate asymmetry is not an externality or a policy problem. It is the primary structural fact of economic life. Commitment Mathematics provides the formal language to state this clearly and derive its consequences.</w:t>
      </w:r>
    </w:p>
    <w:p>
      <w:pPr>
        <w:spacing w:before="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 The Problem with Scalar Economics</w:t>
      </w:r>
    </w:p>
    <w:p>
      <w:pPr>
        <w:spacing w:before="80" w:after="160"/>
        <w:jc w:val="both"/>
      </w:pPr>
      <w:r>
        <w:rPr>
          <w:rFonts w:ascii="Arial" w:cs="Arial" w:eastAsia="Arial" w:hAnsi="Arial"/>
          <w:color w:val="1A1A1A"/>
          <w:sz w:val="22"/>
          <w:szCs w:val="22"/>
        </w:rPr>
        <w:t xml:space="preserve">Standard economics treats value as one-dimensional. A resource has a price. A transaction transfers a quantity. The system evolves through exchanges of scalar amounts. This is the </w:t>
      </w:r>
      <w:r>
        <w:rPr>
          <w:rFonts w:ascii="Arial" w:cs="Arial" w:eastAsia="Arial" w:hAnsi="Arial"/>
          <w:i/>
          <w:iCs/>
          <w:color w:val="1A1A1A"/>
          <w:sz w:val="22"/>
          <w:szCs w:val="22"/>
        </w:rPr>
        <w:t xml:space="preserve">Liable Authority</w:t>
      </w:r>
      <w:r>
        <w:rPr>
          <w:rFonts w:ascii="Arial" w:cs="Arial" w:eastAsia="Arial" w:hAnsi="Arial"/>
          <w:color w:val="1A1A1A"/>
          <w:sz w:val="22"/>
          <w:szCs w:val="22"/>
        </w:rPr>
        <w:t xml:space="preserve"> perspective formalized in Commitment Mathematics:</w:t>
      </w:r>
    </w:p>
    <w:p>
      <w:pPr>
        <w:spacing w:before="120" w:after="120"/>
        <w:jc w:val="center"/>
      </w:pPr>
      <w:r>
        <w:rPr>
          <w:rFonts w:ascii="Courier New" w:cs="Courier New" w:eastAsia="Courier New" w:hAnsi="Courier New"/>
          <w:b/>
          <w:bCs/>
          <w:color w:val="1F4E79"/>
          <w:sz w:val="22"/>
          <w:szCs w:val="22"/>
        </w:rPr>
        <w:t xml:space="preserve">V̂ₗ(C) = -CV₀</w:t>
      </w:r>
    </w:p>
    <w:p>
      <w:pPr>
        <w:spacing w:before="80" w:after="160"/>
        <w:jc w:val="both"/>
      </w:pPr>
      <w:r>
        <w:rPr>
          <w:rFonts w:ascii="Arial" w:cs="Arial" w:eastAsia="Arial" w:hAnsi="Arial"/>
          <w:color w:val="1A1A1A"/>
          <w:sz w:val="22"/>
          <w:szCs w:val="22"/>
        </w:rPr>
        <w:t xml:space="preserve">One number. The amount owed. From this perspective, a barrel of oil and a barrel of water are simply different prices. The dimensions that distinguish them structurally are invisible.</w:t>
      </w:r>
    </w:p>
    <w:p>
      <w:pPr>
        <w:spacing w:before="80" w:after="160"/>
        <w:jc w:val="both"/>
      </w:pPr>
      <w:r>
        <w:rPr>
          <w:rFonts w:ascii="Arial" w:cs="Arial" w:eastAsia="Arial" w:hAnsi="Arial"/>
          <w:color w:val="1A1A1A"/>
          <w:sz w:val="22"/>
          <w:szCs w:val="22"/>
        </w:rPr>
        <w:t xml:space="preserve">The </w:t>
      </w:r>
      <w:r>
        <w:rPr>
          <w:rFonts w:ascii="Arial" w:cs="Arial" w:eastAsia="Arial" w:hAnsi="Arial"/>
          <w:i/>
          <w:iCs/>
          <w:color w:val="1A1A1A"/>
          <w:sz w:val="22"/>
          <w:szCs w:val="22"/>
        </w:rPr>
        <w:t xml:space="preserve">Holding Entity</w:t>
      </w:r>
      <w:r>
        <w:rPr>
          <w:rFonts w:ascii="Arial" w:cs="Arial" w:eastAsia="Arial" w:hAnsi="Arial"/>
          <w:color w:val="1A1A1A"/>
          <w:sz w:val="22"/>
          <w:szCs w:val="22"/>
        </w:rPr>
        <w:t xml:space="preserve"> perspective reveals what is actually being realized:</w:t>
      </w:r>
    </w:p>
    <w:p>
      <w:pPr>
        <w:spacing w:before="120" w:after="120"/>
        <w:jc w:val="center"/>
      </w:pPr>
      <w:r>
        <w:rPr>
          <w:rFonts w:ascii="Courier New" w:cs="Courier New" w:eastAsia="Courier New" w:hAnsi="Courier New"/>
          <w:b/>
          <w:bCs/>
          <w:color w:val="1F4E79"/>
          <w:sz w:val="22"/>
          <w:szCs w:val="22"/>
        </w:rPr>
        <w:t xml:space="preserve">CV_realized = CV₀ · V · A · (1+T) · e^(-kd) · max(0, ℒ)</w:t>
      </w:r>
    </w:p>
    <w:p>
      <w:pPr>
        <w:spacing w:before="80" w:after="160"/>
        <w:jc w:val="both"/>
      </w:pPr>
      <w:r>
        <w:rPr>
          <w:rFonts w:ascii="Arial" w:cs="Arial" w:eastAsia="Arial" w:hAnsi="Arial"/>
          <w:color w:val="1A1A1A"/>
          <w:sz w:val="22"/>
          <w:szCs w:val="22"/>
        </w:rPr>
        <w:t xml:space="preserve">Six dimensions. Base value scaled by visibility, assurance, transferability, dependency depth, and frame alignment. Each dimension represents a structural property of the commitment being realized. Collapsing these six dimensions to one discards the information that matters most.</w:t>
      </w:r>
    </w:p>
    <w:p>
      <w:pPr>
        <w:spacing w:before="80" w:after="160"/>
        <w:jc w:val="both"/>
      </w:pPr>
      <w:r>
        <w:rPr>
          <w:rFonts w:ascii="Arial" w:cs="Arial" w:eastAsia="Arial" w:hAnsi="Arial"/>
          <w:color w:val="1A1A1A"/>
          <w:sz w:val="22"/>
          <w:szCs w:val="22"/>
        </w:rPr>
        <w:t xml:space="preserve">The question economics should ask is not: what is the price of this resource? The question is: what are the Fabric coordinates of this resource, and what does conversion to another Fabric state cost?</w:t>
      </w:r>
    </w:p>
    <w:p>
      <w:pPr>
        <w:spacing w:before="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2. The Earth as Commitment System</w:t>
      </w:r>
    </w:p>
    <w:p>
      <w:pPr>
        <w:spacing w:before="80" w:after="160"/>
        <w:jc w:val="both"/>
      </w:pPr>
      <w:r>
        <w:rPr>
          <w:rFonts w:ascii="Arial" w:cs="Arial" w:eastAsia="Arial" w:hAnsi="Arial"/>
          <w:color w:val="1A1A1A"/>
          <w:sz w:val="22"/>
          <w:szCs w:val="22"/>
        </w:rPr>
        <w:t xml:space="preserve">The Earth is a commitment system. It maintains a network of commitments that produce and sustain Fabric coordinates across geological time. The central process is conversion.</w:t>
      </w:r>
    </w:p>
    <w:p>
      <w:pPr>
        <w:pStyle w:val="Heading2"/>
        <w:spacing w:before="280" w:after="100"/>
      </w:pPr>
      <w:r>
        <w:rPr>
          <w:rFonts w:ascii="Arial" w:cs="Arial" w:eastAsia="Arial" w:hAnsi="Arial"/>
          <w:b/>
          <w:bCs/>
          <w:color w:val="2E75B6"/>
          <w:sz w:val="26"/>
          <w:szCs w:val="26"/>
        </w:rPr>
        <w:t xml:space="preserve">2.1 Formation: Pulse to Defense and Memory</w:t>
      </w:r>
    </w:p>
    <w:p>
      <w:pPr>
        <w:spacing w:before="80" w:after="160"/>
        <w:jc w:val="both"/>
      </w:pPr>
      <w:r>
        <w:rPr>
          <w:rFonts w:ascii="Arial" w:cs="Arial" w:eastAsia="Arial" w:hAnsi="Arial"/>
          <w:color w:val="1A1A1A"/>
          <w:sz w:val="22"/>
          <w:szCs w:val="22"/>
        </w:rPr>
        <w:t xml:space="preserve">Over millions of years, the Earth converts Pulse (dynamical excitation, λ) into Defense (structural coherence, D) and Memory (content fidelity, μ). This conversion follows the constraint operator:</w:t>
      </w:r>
    </w:p>
    <w:p>
      <w:pPr>
        <w:spacing w:before="120" w:after="120"/>
        <w:jc w:val="center"/>
      </w:pPr>
      <w:r>
        <w:rPr>
          <w:rFonts w:ascii="Courier New" w:cs="Courier New" w:eastAsia="Courier New" w:hAnsi="Courier New"/>
          <w:b/>
          <w:bCs/>
          <w:color w:val="1F4E79"/>
          <w:sz w:val="22"/>
          <w:szCs w:val="22"/>
        </w:rPr>
        <w:t xml:space="preserve">Ĉ(ψ) = ψ · e^(-kd)</w:t>
      </w:r>
    </w:p>
    <w:p>
      <w:pPr>
        <w:spacing w:before="80" w:after="160"/>
        <w:jc w:val="both"/>
      </w:pPr>
      <w:r>
        <w:rPr>
          <w:rFonts w:ascii="Arial" w:cs="Arial" w:eastAsia="Arial" w:hAnsi="Arial"/>
          <w:color w:val="1A1A1A"/>
          <w:sz w:val="22"/>
          <w:szCs w:val="22"/>
        </w:rPr>
        <w:t xml:space="preserve">Each layer of structure represents accumulated conversion. Fossil fuels are compressed biological memory and structural coherence, formed from ancient Pulse through a process requiring hundreds of millions of years. Mineral deposits are structural coherence crystallized from early Earth excitation. Soil is Memory: categorization capacity, nutrient cycling, biological information accumulated over millennia.</w:t>
      </w:r>
    </w:p>
    <w:p>
      <w:pPr>
        <w:spacing w:before="80" w:after="160"/>
        <w:jc w:val="both"/>
      </w:pPr>
      <w:r>
        <w:rPr>
          <w:rFonts w:ascii="Arial" w:cs="Arial" w:eastAsia="Arial" w:hAnsi="Arial"/>
          <w:color w:val="1A1A1A"/>
          <w:sz w:val="22"/>
          <w:szCs w:val="22"/>
        </w:rPr>
        <w:t xml:space="preserve">The Fabric coordinates of these formed resources are high in D and μ and low in λ. They are stable. They resist perturbation. They encode history. Their value comes precisely from this stability.</w:t>
      </w:r>
    </w:p>
    <w:p>
      <w:pPr>
        <w:spacing w:before="80" w:after="160"/>
        <w:jc w:val="both"/>
      </w:pPr>
      <w:r>
        <w:rPr>
          <w:rFonts w:ascii="Arial" w:cs="Arial" w:eastAsia="Arial" w:hAnsi="Arial"/>
          <w:color w:val="1A1A1A"/>
          <w:sz w:val="22"/>
          <w:szCs w:val="22"/>
        </w:rPr>
        <w:t xml:space="preserve">The formation rate is governed by geological and biological processes operating at timescales of 10⁵ to 10⁸ years. This is not slow by accident. Structural coherence and memory fidelity at the level required to store energy densely require that much time to accumulate.</w:t>
      </w:r>
    </w:p>
    <w:p>
      <w:pPr>
        <w:pStyle w:val="Heading2"/>
        <w:spacing w:before="280" w:after="100"/>
      </w:pPr>
      <w:r>
        <w:rPr>
          <w:rFonts w:ascii="Arial" w:cs="Arial" w:eastAsia="Arial" w:hAnsi="Arial"/>
          <w:b/>
          <w:bCs/>
          <w:color w:val="2E75B6"/>
          <w:sz w:val="26"/>
          <w:szCs w:val="26"/>
        </w:rPr>
        <w:t xml:space="preserve">2.2 Conversion Rate</w:t>
      </w:r>
    </w:p>
    <w:p>
      <w:pPr>
        <w:spacing w:before="80" w:after="160"/>
        <w:jc w:val="both"/>
      </w:pPr>
      <w:r>
        <w:rPr>
          <w:rFonts w:ascii="Arial" w:cs="Arial" w:eastAsia="Arial" w:hAnsi="Arial"/>
          <w:color w:val="1A1A1A"/>
          <w:sz w:val="22"/>
          <w:szCs w:val="22"/>
        </w:rPr>
        <w:t xml:space="preserve">The Fabric coordinates of Earth resources prior to extraction can be characterized approximately as:</w:t>
      </w:r>
    </w:p>
    <w:p>
      <w:pPr>
        <w:spacing w:before="0" w:after="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23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Resource Type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 (Defense)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μ (Memory)</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λ (Pulse)</w:t>
            </w:r>
          </w:p>
        </w:tc>
        <w:tc>
          <w:tcPr>
            <w:tcW w:type="dxa" w:w="2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Formation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Fossil Fuels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~300M years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Metal Ores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Moderate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Very 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~100M–1B years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Topsoil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Moderate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~1,000–10,000 years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Old-Growth Forest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Moderate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~500–1,000 years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Surface Water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Moderate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Days to years (renewable)</w:t>
            </w:r>
          </w:p>
        </w:tc>
      </w:tr>
    </w:tbl>
    <w:p>
      <w:pPr>
        <w:spacing w:before="0" w:after="80"/>
      </w:pPr>
      <w:r>
        <w:t xml:space="preserve"/>
      </w:r>
    </w:p>
    <w:p>
      <w:pPr>
        <w:spacing w:before="80" w:after="160"/>
        <w:jc w:val="both"/>
      </w:pPr>
      <w:r>
        <w:rPr>
          <w:rFonts w:ascii="Arial" w:cs="Arial" w:eastAsia="Arial" w:hAnsi="Arial"/>
          <w:color w:val="1A1A1A"/>
          <w:sz w:val="22"/>
          <w:szCs w:val="22"/>
        </w:rPr>
        <w:t xml:space="preserve">The table reveals the structural pattern: the resources with the longest formation times carry the highest D and μ and the lowest λ. They are maximally structured and minimally excited. Their Fabric state is the result of sustained conversion from high-λ planetary conditions into stable relational structures.</w:t>
      </w:r>
    </w:p>
    <w:p>
      <w:pPr>
        <w:spacing w:before="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3. The Asymmetry</w:t>
      </w:r>
    </w:p>
    <w:p>
      <w:pPr>
        <w:pBdr>
          <w:left w:val="single" w:color="2E75B6" w:sz="12" w:space="12"/>
        </w:pBdr>
        <w:spacing w:before="120" w:after="120"/>
        <w:ind w:left="720" w:right="720"/>
        <w:jc w:val="left"/>
      </w:pPr>
      <w:r>
        <w:rPr>
          <w:rFonts w:ascii="Arial" w:cs="Arial" w:eastAsia="Arial" w:hAnsi="Arial"/>
          <w:i/>
          <w:iCs/>
          <w:color w:val="595959"/>
          <w:sz w:val="22"/>
          <w:szCs w:val="22"/>
        </w:rPr>
        <w:t xml:space="preserve">The Earth takes millions of years to convert Pulse to Defense and Memory. We take days to years to convert Defense and Memory back to Pulse.</w:t>
      </w:r>
    </w:p>
    <w:p>
      <w:pPr>
        <w:spacing w:before="80" w:after="160"/>
        <w:jc w:val="both"/>
      </w:pPr>
      <w:r>
        <w:rPr>
          <w:rFonts w:ascii="Arial" w:cs="Arial" w:eastAsia="Arial" w:hAnsi="Arial"/>
          <w:color w:val="1A1A1A"/>
          <w:sz w:val="22"/>
          <w:szCs w:val="22"/>
        </w:rPr>
        <w:t xml:space="preserve">This is the central economic fact. It is not a moral claim. It is a structural observation about conversion rates in the Fabric.</w:t>
      </w:r>
    </w:p>
    <w:p>
      <w:pPr>
        <w:pStyle w:val="Heading2"/>
        <w:spacing w:before="280" w:after="100"/>
      </w:pPr>
      <w:r>
        <w:rPr>
          <w:rFonts w:ascii="Arial" w:cs="Arial" w:eastAsia="Arial" w:hAnsi="Arial"/>
          <w:b/>
          <w:bCs/>
          <w:color w:val="2E75B6"/>
          <w:sz w:val="26"/>
          <w:szCs w:val="26"/>
        </w:rPr>
        <w:t xml:space="preserve">3.1 Formal Statement</w:t>
      </w:r>
    </w:p>
    <w:p>
      <w:pPr>
        <w:spacing w:before="80" w:after="160"/>
        <w:jc w:val="both"/>
      </w:pPr>
      <w:r>
        <w:rPr>
          <w:rFonts w:ascii="Arial" w:cs="Arial" w:eastAsia="Arial" w:hAnsi="Arial"/>
          <w:color w:val="1A1A1A"/>
          <w:sz w:val="22"/>
          <w:szCs w:val="22"/>
        </w:rPr>
        <w:t xml:space="preserve">Let τ_form be the formation time required to accumulate Fabric coordinates (D, μ) from Pulse (λ). Let τ_convert be the human economic conversion time to convert (D, μ) back to λ. The asymmetry is:</w:t>
      </w:r>
    </w:p>
    <w:p>
      <w:pPr>
        <w:spacing w:before="120" w:after="120"/>
        <w:jc w:val="center"/>
      </w:pPr>
      <w:r>
        <w:rPr>
          <w:rFonts w:ascii="Courier New" w:cs="Courier New" w:eastAsia="Courier New" w:hAnsi="Courier New"/>
          <w:b/>
          <w:bCs/>
          <w:color w:val="1F4E79"/>
          <w:sz w:val="22"/>
          <w:szCs w:val="22"/>
        </w:rPr>
        <w:t xml:space="preserve">τ_form &gt;&gt; τ_convert</w:t>
      </w:r>
    </w:p>
    <w:p>
      <w:pPr>
        <w:spacing w:before="80" w:after="160"/>
        <w:jc w:val="both"/>
      </w:pPr>
      <w:r>
        <w:rPr>
          <w:rFonts w:ascii="Arial" w:cs="Arial" w:eastAsia="Arial" w:hAnsi="Arial"/>
          <w:color w:val="1A1A1A"/>
          <w:sz w:val="22"/>
          <w:szCs w:val="22"/>
        </w:rPr>
        <w:t xml:space="preserve">For fossil fuels: τ_form ≈ 3 × 10⁸ years, τ_convert ≈ 200 years. The ratio τ_form / τ_convert ≈ 10⁶. This is not approximately equal. It is not correctable with a modest tax. It is a </w:t>
      </w:r>
      <w:r>
        <w:rPr>
          <w:rFonts w:ascii="Arial" w:cs="Arial" w:eastAsia="Arial" w:hAnsi="Arial"/>
          <w:b/>
          <w:bCs/>
          <w:color w:val="1A1A1A"/>
          <w:sz w:val="22"/>
          <w:szCs w:val="22"/>
        </w:rPr>
        <w:t xml:space="preserve">structural impossibility of restoration</w:t>
      </w:r>
      <w:r>
        <w:rPr>
          <w:rFonts w:ascii="Arial" w:cs="Arial" w:eastAsia="Arial" w:hAnsi="Arial"/>
          <w:color w:val="1A1A1A"/>
          <w:sz w:val="22"/>
          <w:szCs w:val="22"/>
        </w:rPr>
        <w:t xml:space="preserve"> on any human timescale.</w:t>
      </w:r>
    </w:p>
    <w:p>
      <w:pPr>
        <w:spacing w:before="80" w:after="160"/>
        <w:jc w:val="both"/>
      </w:pPr>
      <w:r>
        <w:rPr>
          <w:rFonts w:ascii="Arial" w:cs="Arial" w:eastAsia="Arial" w:hAnsi="Arial"/>
          <w:color w:val="1A1A1A"/>
          <w:sz w:val="22"/>
          <w:szCs w:val="22"/>
        </w:rPr>
        <w:t xml:space="preserve">For topsoil: τ_form ≈ 1,000–10,000 years, τ_convert ≈ decades. The ratio is 10³ to 10´.</w:t>
      </w:r>
    </w:p>
    <w:p>
      <w:pPr>
        <w:spacing w:before="80" w:after="160"/>
        <w:jc w:val="both"/>
      </w:pPr>
      <w:r>
        <w:rPr>
          <w:rFonts w:ascii="Arial" w:cs="Arial" w:eastAsia="Arial" w:hAnsi="Arial"/>
          <w:color w:val="1A1A1A"/>
          <w:sz w:val="22"/>
          <w:szCs w:val="22"/>
        </w:rPr>
        <w:t xml:space="preserve">For old-growth forest: τ_form ≈ 500–1,000 years, τ_convert ≈ days to months with industrial equipment.</w:t>
      </w:r>
    </w:p>
    <w:p>
      <w:pPr>
        <w:pStyle w:val="Heading2"/>
        <w:spacing w:before="280" w:after="100"/>
      </w:pPr>
      <w:r>
        <w:rPr>
          <w:rFonts w:ascii="Arial" w:cs="Arial" w:eastAsia="Arial" w:hAnsi="Arial"/>
          <w:b/>
          <w:bCs/>
          <w:color w:val="2E75B6"/>
          <w:sz w:val="26"/>
          <w:szCs w:val="26"/>
        </w:rPr>
        <w:t xml:space="preserve">3.2 What the Asymmetry Means for Value</w:t>
      </w:r>
    </w:p>
    <w:p>
      <w:pPr>
        <w:spacing w:before="80" w:after="160"/>
        <w:jc w:val="both"/>
      </w:pPr>
      <w:r>
        <w:rPr>
          <w:rFonts w:ascii="Arial" w:cs="Arial" w:eastAsia="Arial" w:hAnsi="Arial"/>
          <w:color w:val="1A1A1A"/>
          <w:sz w:val="22"/>
          <w:szCs w:val="22"/>
        </w:rPr>
        <w:t xml:space="preserve">In Commitment Mathematics, the realized value of a commitment is path-dependent. The state trajectory Π matters because accumulated memory degradation and phase relationships determine what operations are available:</w:t>
      </w:r>
    </w:p>
    <w:p>
      <w:pPr>
        <w:spacing w:before="120" w:after="120"/>
        <w:jc w:val="center"/>
      </w:pPr>
      <w:r>
        <w:rPr>
          <w:rFonts w:ascii="Courier New" w:cs="Courier New" w:eastAsia="Courier New" w:hAnsi="Courier New"/>
          <w:b/>
          <w:bCs/>
          <w:color w:val="1F4E79"/>
          <w:sz w:val="22"/>
          <w:szCs w:val="22"/>
        </w:rPr>
        <w:t xml:space="preserve">Π = (S₀, OP₁, S₁, OP₂, S₂, ..., OP_n, S_n)</w:t>
      </w:r>
    </w:p>
    <w:p>
      <w:pPr>
        <w:spacing w:before="80" w:after="160"/>
        <w:jc w:val="both"/>
      </w:pPr>
      <w:r>
        <w:rPr>
          <w:rFonts w:ascii="Arial" w:cs="Arial" w:eastAsia="Arial" w:hAnsi="Arial"/>
          <w:color w:val="1A1A1A"/>
          <w:sz w:val="22"/>
          <w:szCs w:val="22"/>
        </w:rPr>
        <w:t xml:space="preserve">When D and μ are converted to λ, the path is irreversible on human timescales. The trajectory cannot return through the same states. REPAIR is available only when:</w:t>
      </w:r>
    </w:p>
    <w:p>
      <w:pPr>
        <w:spacing w:before="120" w:after="120"/>
        <w:jc w:val="center"/>
      </w:pPr>
      <w:r>
        <w:rPr>
          <w:rFonts w:ascii="Courier New" w:cs="Courier New" w:eastAsia="Courier New" w:hAnsi="Courier New"/>
          <w:b/>
          <w:bCs/>
          <w:color w:val="1F4E79"/>
          <w:sz w:val="22"/>
          <w:szCs w:val="22"/>
        </w:rPr>
        <w:t xml:space="preserve">||Comp|| ≥ |ΔV(C)|</w:t>
      </w:r>
    </w:p>
    <w:p>
      <w:pPr>
        <w:spacing w:before="80" w:after="160"/>
        <w:jc w:val="both"/>
      </w:pPr>
      <w:r>
        <w:rPr>
          <w:rFonts w:ascii="Arial" w:cs="Arial" w:eastAsia="Arial" w:hAnsi="Arial"/>
          <w:color w:val="1A1A1A"/>
          <w:sz w:val="22"/>
          <w:szCs w:val="22"/>
        </w:rPr>
        <w:t xml:space="preserve">For a formation time of 10⁸ years, the compensation required to restore D and μ is not merely large. No compensation structure available to human economic systems can satisfy this condition. The valuation gap ΔV(C) for converted geological resources is not bridged by any finite Comp.</w:t>
      </w:r>
    </w:p>
    <w:p>
      <w:pPr>
        <w:spacing w:before="80" w:after="160"/>
        <w:jc w:val="both"/>
      </w:pPr>
      <w:r>
        <w:rPr>
          <w:rFonts w:ascii="Arial" w:cs="Arial" w:eastAsia="Arial" w:hAnsi="Arial"/>
          <w:color w:val="1A1A1A"/>
          <w:sz w:val="22"/>
          <w:szCs w:val="22"/>
        </w:rPr>
        <w:t xml:space="preserve">Traditional economics treats this as a technical problem of pricing externalities. The Commitment Mathematics view is more direct: the commitment is being ANNIHILATED without the bilateral consent required by the formalism. ANNIHILATE requires:</w:t>
      </w:r>
    </w:p>
    <w:p>
      <w:pPr>
        <w:spacing w:before="120" w:after="120"/>
        <w:jc w:val="center"/>
      </w:pPr>
      <w:r>
        <w:rPr>
          <w:rFonts w:ascii="Courier New" w:cs="Courier New" w:eastAsia="Courier New" w:hAnsi="Courier New"/>
          <w:b/>
          <w:bCs/>
          <w:color w:val="1F4E79"/>
          <w:sz w:val="22"/>
          <w:szCs w:val="22"/>
        </w:rPr>
        <w:t xml:space="preserve">ANL(T) : C ↦ ∅, requiring bilateral consent OR terminal damage</w:t>
      </w:r>
    </w:p>
    <w:p>
      <w:pPr>
        <w:spacing w:before="80" w:after="160"/>
        <w:jc w:val="both"/>
      </w:pPr>
      <w:r>
        <w:rPr>
          <w:rFonts w:ascii="Arial" w:cs="Arial" w:eastAsia="Arial" w:hAnsi="Arial"/>
          <w:color w:val="1A1A1A"/>
          <w:sz w:val="22"/>
          <w:szCs w:val="22"/>
        </w:rPr>
        <w:t xml:space="preserve">Economic extraction without restoration is VIOLATE followed by ANNIHILATE. The VIOLATE mechanism degrades Fabric coordinates:</w:t>
      </w:r>
    </w:p>
    <w:p>
      <w:pPr>
        <w:spacing w:before="120" w:after="120"/>
        <w:jc w:val="center"/>
      </w:pPr>
      <w:r>
        <w:rPr>
          <w:rFonts w:ascii="Courier New" w:cs="Courier New" w:eastAsia="Courier New" w:hAnsi="Courier New"/>
          <w:b/>
          <w:bCs/>
          <w:color w:val="1F4E79"/>
          <w:sz w:val="22"/>
          <w:szCs w:val="22"/>
        </w:rPr>
        <w:t xml:space="preserve">Δμ = -ln 2 · Σ_n [(AD_n)² + (Aλ_n)² + (1 - μ_n)²]</w:t>
      </w:r>
    </w:p>
    <w:p>
      <w:pPr>
        <w:spacing w:before="80" w:after="160"/>
        <w:jc w:val="both"/>
      </w:pPr>
      <w:r>
        <w:rPr>
          <w:rFonts w:ascii="Arial" w:cs="Arial" w:eastAsia="Arial" w:hAnsi="Arial"/>
          <w:color w:val="1A1A1A"/>
          <w:sz w:val="22"/>
          <w:szCs w:val="22"/>
        </w:rPr>
        <w:t xml:space="preserve">Each extraction cycle degrades μ further. As μ falls below μ_critical = 1/(2e) ≈ 0.184, MONITOR loses the capacity to detect the degradation. The system loses self-observation capacity precisely when it is most needed.</w:t>
      </w:r>
    </w:p>
    <w:p>
      <w:pPr>
        <w:spacing w:before="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4. Reconsidering Economic Value</w:t>
      </w:r>
    </w:p>
    <w:p>
      <w:pPr>
        <w:pStyle w:val="Heading2"/>
        <w:spacing w:before="280" w:after="100"/>
      </w:pPr>
      <w:r>
        <w:rPr>
          <w:rFonts w:ascii="Arial" w:cs="Arial" w:eastAsia="Arial" w:hAnsi="Arial"/>
          <w:b/>
          <w:bCs/>
          <w:color w:val="2E75B6"/>
          <w:sz w:val="26"/>
          <w:szCs w:val="26"/>
        </w:rPr>
        <w:t xml:space="preserve">4.1 The Six-Dimensional Structure of Economic Value</w:t>
      </w:r>
    </w:p>
    <w:p>
      <w:pPr>
        <w:spacing w:before="80" w:after="160"/>
        <w:jc w:val="both"/>
      </w:pPr>
      <w:r>
        <w:rPr>
          <w:rFonts w:ascii="Arial" w:cs="Arial" w:eastAsia="Arial" w:hAnsi="Arial"/>
          <w:color w:val="1A1A1A"/>
          <w:sz w:val="22"/>
          <w:szCs w:val="22"/>
        </w:rPr>
        <w:t xml:space="preserve">The realized value of any economic input has six dimensions: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Dimension</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Economic Meaning</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What Scalar Economics Misses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CV₀ (Base Value)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Raw resource quantity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Nothing — this is all scalar economics sees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 (Visibility)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Accessibility of the resource for productive 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Whether access conditions are stable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 (Assurance)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Stability of the value realization conditions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Institutional and ecological stability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 (Transferability)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Capacity for value to propagate through the economy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Liquidity, substitutability, tradability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 (Dependency Depth)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Layers of derivation from the base resource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Cascade effects through supply chains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ℒ (Intersection)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Alignment between producer and consumer frames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Whether exchange is genuine or forced</w:t>
            </w:r>
          </w:p>
        </w:tc>
      </w:tr>
    </w:tbl>
    <w:p>
      <w:pPr>
        <w:spacing w:before="0" w:after="80"/>
      </w:pPr>
      <w:r>
        <w:t xml:space="preserve"/>
      </w:r>
    </w:p>
    <w:p>
      <w:pPr>
        <w:spacing w:before="80" w:after="160"/>
        <w:jc w:val="both"/>
      </w:pPr>
      <w:r>
        <w:rPr>
          <w:rFonts w:ascii="Arial" w:cs="Arial" w:eastAsia="Arial" w:hAnsi="Arial"/>
          <w:color w:val="1A1A1A"/>
          <w:sz w:val="22"/>
          <w:szCs w:val="22"/>
        </w:rPr>
        <w:t xml:space="preserve">A resource with high CV₀ but degrading A (assurance) is worth less than its scalar price suggests. The assurance dimension captures ecological stability, institutional reliability, and physical accessibility — all of which depend on the maintenance of D and μ in the systems that produce the resource.</w:t>
      </w:r>
    </w:p>
    <w:p>
      <w:pPr>
        <w:pStyle w:val="Heading2"/>
        <w:spacing w:before="280" w:after="100"/>
      </w:pPr>
      <w:r>
        <w:rPr>
          <w:rFonts w:ascii="Arial" w:cs="Arial" w:eastAsia="Arial" w:hAnsi="Arial"/>
          <w:b/>
          <w:bCs/>
          <w:color w:val="2E75B6"/>
          <w:sz w:val="26"/>
          <w:szCs w:val="26"/>
        </w:rPr>
        <w:t xml:space="preserve">4.2 Relational Value</w:t>
      </w:r>
    </w:p>
    <w:p>
      <w:pPr>
        <w:spacing w:before="80" w:after="160"/>
        <w:jc w:val="both"/>
      </w:pPr>
      <w:r>
        <w:rPr>
          <w:rFonts w:ascii="Arial" w:cs="Arial" w:eastAsia="Arial" w:hAnsi="Arial"/>
          <w:color w:val="1A1A1A"/>
          <w:sz w:val="22"/>
          <w:szCs w:val="22"/>
        </w:rPr>
        <w:t xml:space="preserve">The conservation law for relational value is:</w:t>
      </w:r>
    </w:p>
    <w:p>
      <w:pPr>
        <w:spacing w:before="120" w:after="120"/>
        <w:jc w:val="center"/>
      </w:pPr>
      <w:r>
        <w:rPr>
          <w:rFonts w:ascii="Courier New" w:cs="Courier New" w:eastAsia="Courier New" w:hAnsi="Courier New"/>
          <w:b/>
          <w:bCs/>
          <w:color w:val="1F4E79"/>
          <w:sz w:val="22"/>
          <w:szCs w:val="22"/>
        </w:rPr>
        <w:t xml:space="preserve">RV_total = Σ EV + k₁Σ Φ + k₂Σ Ψ - k_μΣ(1-μ)Ψ</w:t>
      </w:r>
    </w:p>
    <w:p>
      <w:pPr>
        <w:spacing w:before="80" w:after="160"/>
        <w:jc w:val="both"/>
      </w:pPr>
      <w:r>
        <w:rPr>
          <w:rFonts w:ascii="Arial" w:cs="Arial" w:eastAsia="Arial" w:hAnsi="Arial"/>
          <w:color w:val="1A1A1A"/>
          <w:sz w:val="22"/>
          <w:szCs w:val="22"/>
        </w:rPr>
        <w:t xml:space="preserve">where Φᵢⱼ = 1 - Rᴰ(i,j) is coherence between commitments and Ψⱼ = Gⱼμⱼ Dⱼ/(1+λⱼ) is generative potential. The term -k_μ(1-μ)Ψ penalizes generative potential when memory fidelity is low.</w:t>
      </w:r>
    </w:p>
    <w:p>
      <w:pPr>
        <w:spacing w:before="80" w:after="160"/>
        <w:jc w:val="both"/>
      </w:pPr>
      <w:r>
        <w:rPr>
          <w:rFonts w:ascii="Arial" w:cs="Arial" w:eastAsia="Arial" w:hAnsi="Arial"/>
          <w:color w:val="1A1A1A"/>
          <w:sz w:val="22"/>
          <w:szCs w:val="22"/>
        </w:rPr>
        <w:t xml:space="preserve">This has a direct economic interpretation: as μ degrades — through soil depletion, species loss, ecosystem disruption — the generative potential Ψ of the system is discounted. High-μ systems (intact ecosystems, stable institutions, coherent communities) generate more relational value than their exchange value CV₀ suggests. Low-μ systems generate less.</w:t>
      </w:r>
    </w:p>
    <w:p>
      <w:pPr>
        <w:spacing w:before="80" w:after="160"/>
        <w:jc w:val="both"/>
      </w:pPr>
      <w:r>
        <w:rPr>
          <w:rFonts w:ascii="Arial" w:cs="Arial" w:eastAsia="Arial" w:hAnsi="Arial"/>
          <w:color w:val="1A1A1A"/>
          <w:sz w:val="22"/>
          <w:szCs w:val="22"/>
        </w:rPr>
        <w:t xml:space="preserve">Traditional economics measures only Σ EV. It omits the coherence and generative potential terms that constitute the majority of actual relational value in intact systems.</w:t>
      </w:r>
    </w:p>
    <w:p>
      <w:pPr>
        <w:pStyle w:val="Heading2"/>
        <w:spacing w:before="280" w:after="100"/>
      </w:pPr>
      <w:r>
        <w:rPr>
          <w:rFonts w:ascii="Arial" w:cs="Arial" w:eastAsia="Arial" w:hAnsi="Arial"/>
          <w:b/>
          <w:bCs/>
          <w:color w:val="2E75B6"/>
          <w:sz w:val="26"/>
          <w:szCs w:val="26"/>
        </w:rPr>
        <w:t xml:space="preserve">4.3 Generativity as the Economic Threshold</w:t>
      </w:r>
    </w:p>
    <w:p>
      <w:pPr>
        <w:spacing w:before="80" w:after="160"/>
        <w:jc w:val="both"/>
      </w:pPr>
      <w:r>
        <w:rPr>
          <w:rFonts w:ascii="Arial" w:cs="Arial" w:eastAsia="Arial" w:hAnsi="Arial"/>
          <w:color w:val="1A1A1A"/>
          <w:sz w:val="22"/>
          <w:szCs w:val="22"/>
        </w:rPr>
        <w:t xml:space="preserve">The generativity condition for sustainable economic activity is:</w:t>
      </w:r>
    </w:p>
    <w:p>
      <w:pPr>
        <w:spacing w:before="120" w:after="120"/>
        <w:jc w:val="center"/>
      </w:pPr>
      <w:r>
        <w:rPr>
          <w:rFonts w:ascii="Courier New" w:cs="Courier New" w:eastAsia="Courier New" w:hAnsi="Courier New"/>
          <w:b/>
          <w:bCs/>
          <w:color w:val="1F4E79"/>
          <w:sz w:val="22"/>
          <w:szCs w:val="22"/>
        </w:rPr>
        <w:t xml:space="preserve">Gen(S) = G_S · μ_S · D_S / (1 + λ_S) &gt; 1</w:t>
      </w:r>
    </w:p>
    <w:p>
      <w:pPr>
        <w:spacing w:before="80" w:after="160"/>
        <w:jc w:val="both"/>
      </w:pPr>
      <w:r>
        <w:rPr>
          <w:rFonts w:ascii="Arial" w:cs="Arial" w:eastAsia="Arial" w:hAnsi="Arial"/>
          <w:color w:val="1A1A1A"/>
          <w:sz w:val="22"/>
          <w:szCs w:val="22"/>
        </w:rPr>
        <w:t xml:space="preserve">Gen &gt; 1 is necessary for sustainable growth. An economic system that converts D and μ to λ faster than they are restored operates with Gen &lt; 1. It is drawing down the Fabric. Each period, the substrate available for future production diminishes.</w:t>
      </w:r>
    </w:p>
    <w:p>
      <w:pPr>
        <w:spacing w:before="80" w:after="160"/>
        <w:jc w:val="both"/>
      </w:pPr>
      <w:r>
        <w:rPr>
          <w:rFonts w:ascii="Arial" w:cs="Arial" w:eastAsia="Arial" w:hAnsi="Arial"/>
          <w:color w:val="1A1A1A"/>
          <w:sz w:val="22"/>
          <w:szCs w:val="22"/>
        </w:rPr>
        <w:t xml:space="preserve">This is not a metaphor for “unsustainability.” It is a precise condition: if the Fabric coordinates of the productive system fall below the thresholds required for MONITOR to function, the system loses the capacity to observe its own degradation. Recovery requires external stabilization. Without it, the system continues to degrade until dissolution.</w:t>
      </w:r>
    </w:p>
    <w:p>
      <w:pPr>
        <w:spacing w:before="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5. The Economics of Fabric Maintenance</w:t>
      </w:r>
    </w:p>
    <w:p>
      <w:pPr>
        <w:pStyle w:val="Heading2"/>
        <w:spacing w:before="280" w:after="100"/>
      </w:pPr>
      <w:r>
        <w:rPr>
          <w:rFonts w:ascii="Arial" w:cs="Arial" w:eastAsia="Arial" w:hAnsi="Arial"/>
          <w:b/>
          <w:bCs/>
          <w:color w:val="2E75B6"/>
          <w:sz w:val="26"/>
          <w:szCs w:val="26"/>
        </w:rPr>
        <w:t xml:space="preserve">5.1 SCRIBE, SECURE, and MODULATE as Economic Functions</w:t>
      </w:r>
    </w:p>
    <w:p>
      <w:pPr>
        <w:spacing w:before="80" w:after="160"/>
        <w:jc w:val="both"/>
      </w:pPr>
      <w:r>
        <w:rPr>
          <w:rFonts w:ascii="Arial" w:cs="Arial" w:eastAsia="Arial" w:hAnsi="Arial"/>
          <w:color w:val="1A1A1A"/>
          <w:sz w:val="22"/>
          <w:szCs w:val="22"/>
        </w:rPr>
        <w:t xml:space="preserve">Commitment Mathematics identifies three continuous regulatory functions that maintain Fabric coordinates above critical thresholds:</w:t>
      </w:r>
    </w:p>
    <w:p>
      <w:pPr>
        <w:spacing w:before="80" w:after="160"/>
        <w:jc w:val="both"/>
      </w:pPr>
      <w:r>
        <w:rPr>
          <w:rFonts w:ascii="Arial" w:cs="Arial" w:eastAsia="Arial" w:hAnsi="Arial"/>
          <w:b/>
          <w:bCs/>
          <w:color w:val="1A1A1A"/>
          <w:sz w:val="22"/>
          <w:szCs w:val="22"/>
        </w:rPr>
        <w:t xml:space="preserve">SCRIBE</w:t>
      </w:r>
      <w:r>
        <w:rPr>
          <w:rFonts w:ascii="Arial" w:cs="Arial" w:eastAsia="Arial" w:hAnsi="Arial"/>
          <w:color w:val="1A1A1A"/>
          <w:sz w:val="22"/>
          <w:szCs w:val="22"/>
        </w:rPr>
        <w:t xml:space="preserve"> regulates Memory (μ). In economic terms: institutional memory, ecological knowledge, cultural practices that encode productive information. Education, research, documentation, tradition. These are not amenities — they are necessary for μ ≥ μ_critical.</w:t>
      </w:r>
    </w:p>
    <w:p>
      <w:pPr>
        <w:spacing w:before="80" w:after="160"/>
        <w:jc w:val="both"/>
      </w:pPr>
      <w:r>
        <w:rPr>
          <w:rFonts w:ascii="Arial" w:cs="Arial" w:eastAsia="Arial" w:hAnsi="Arial"/>
          <w:b/>
          <w:bCs/>
          <w:color w:val="1A1A1A"/>
          <w:sz w:val="22"/>
          <w:szCs w:val="22"/>
        </w:rPr>
        <w:t xml:space="preserve">SECURE</w:t>
      </w:r>
      <w:r>
        <w:rPr>
          <w:rFonts w:ascii="Arial" w:cs="Arial" w:eastAsia="Arial" w:hAnsi="Arial"/>
          <w:color w:val="1A1A1A"/>
          <w:sz w:val="22"/>
          <w:szCs w:val="22"/>
        </w:rPr>
        <w:t xml:space="preserve"> regulates Defense (D). In economic terms: structural coherence of institutions, ecosystems, infrastructure, legal frameworks. These maintain the binding that allows productive activity to occur.</w:t>
      </w:r>
    </w:p>
    <w:p>
      <w:pPr>
        <w:spacing w:before="80" w:after="160"/>
        <w:jc w:val="both"/>
      </w:pPr>
      <w:r>
        <w:rPr>
          <w:rFonts w:ascii="Arial" w:cs="Arial" w:eastAsia="Arial" w:hAnsi="Arial"/>
          <w:b/>
          <w:bCs/>
          <w:color w:val="1A1A1A"/>
          <w:sz w:val="22"/>
          <w:szCs w:val="22"/>
        </w:rPr>
        <w:t xml:space="preserve">MODULATE</w:t>
      </w:r>
      <w:r>
        <w:rPr>
          <w:rFonts w:ascii="Arial" w:cs="Arial" w:eastAsia="Arial" w:hAnsi="Arial"/>
          <w:color w:val="1A1A1A"/>
          <w:sz w:val="22"/>
          <w:szCs w:val="22"/>
        </w:rPr>
        <w:t xml:space="preserve"> regulates Pulse (λ). In economic terms: energy management, resource allocation, prevention of exhaustion or runaway excitation. Economic stability is λ within operational range — neither depleted nor chaotic.</w:t>
      </w:r>
    </w:p>
    <w:p>
      <w:pPr>
        <w:spacing w:before="80" w:after="160"/>
        <w:jc w:val="both"/>
      </w:pPr>
      <w:r>
        <w:rPr>
          <w:rFonts w:ascii="Arial" w:cs="Arial" w:eastAsia="Arial" w:hAnsi="Arial"/>
          <w:color w:val="1A1A1A"/>
          <w:sz w:val="22"/>
          <w:szCs w:val="22"/>
        </w:rPr>
        <w:t xml:space="preserve">Standard economics treats expenditure on SCRIBE, SECURE, and MODULATE functions as costs to be minimized. The Commitment Mathematics view is the opposite: these are the maintenance operations that make all other productive operations possible. Reducing them is a VIOLATE operation on the Fabric itself.</w:t>
      </w:r>
    </w:p>
    <w:p>
      <w:pPr>
        <w:pStyle w:val="Heading2"/>
        <w:spacing w:before="280" w:after="100"/>
      </w:pPr>
      <w:r>
        <w:rPr>
          <w:rFonts w:ascii="Arial" w:cs="Arial" w:eastAsia="Arial" w:hAnsi="Arial"/>
          <w:b/>
          <w:bCs/>
          <w:color w:val="2E75B6"/>
          <w:sz w:val="26"/>
          <w:szCs w:val="26"/>
        </w:rPr>
        <w:t xml:space="preserve">5.2 The True Cost of Extraction</w:t>
      </w:r>
    </w:p>
    <w:p>
      <w:pPr>
        <w:spacing w:before="80" w:after="160"/>
        <w:jc w:val="both"/>
      </w:pPr>
      <w:r>
        <w:rPr>
          <w:rFonts w:ascii="Arial" w:cs="Arial" w:eastAsia="Arial" w:hAnsi="Arial"/>
          <w:color w:val="1A1A1A"/>
          <w:sz w:val="22"/>
          <w:szCs w:val="22"/>
        </w:rPr>
        <w:t xml:space="preserve">For any extraction operation that converts (D, μ) to λ, the true cost includes the damage to Fabric coordinates:</w:t>
      </w:r>
    </w:p>
    <w:p>
      <w:pPr>
        <w:spacing w:before="120" w:after="120"/>
        <w:jc w:val="center"/>
      </w:pPr>
      <w:r>
        <w:rPr>
          <w:rFonts w:ascii="Courier New" w:cs="Courier New" w:eastAsia="Courier New" w:hAnsi="Courier New"/>
          <w:b/>
          <w:bCs/>
          <w:color w:val="1F4E79"/>
          <w:sz w:val="22"/>
          <w:szCs w:val="22"/>
        </w:rPr>
        <w:t xml:space="preserve">C_violate = γ_force · CV₀ + Damage</w:t>
      </w:r>
    </w:p>
    <w:p>
      <w:pPr>
        <w:spacing w:before="120" w:after="120"/>
        <w:jc w:val="center"/>
      </w:pPr>
      <w:r>
        <w:rPr>
          <w:rFonts w:ascii="Courier New" w:cs="Courier New" w:eastAsia="Courier New" w:hAnsi="Courier New"/>
          <w:b/>
          <w:bCs/>
          <w:color w:val="1F4E79"/>
          <w:sz w:val="22"/>
          <w:szCs w:val="22"/>
        </w:rPr>
        <w:t xml:space="preserve">Damage = k_v · (ΔD + Δλ + (1 - μ) · |Δμ|)  where k_v = ln 2</w:t>
      </w:r>
    </w:p>
    <w:p>
      <w:pPr>
        <w:spacing w:before="80" w:after="160"/>
        <w:jc w:val="both"/>
      </w:pPr>
      <w:r>
        <w:rPr>
          <w:rFonts w:ascii="Arial" w:cs="Arial" w:eastAsia="Arial" w:hAnsi="Arial"/>
          <w:color w:val="1A1A1A"/>
          <w:sz w:val="22"/>
          <w:szCs w:val="22"/>
        </w:rPr>
        <w:t xml:space="preserve">The term (1 - μ) · |Δμ| means that memory degradation amplifies damage when memory is already low. In a degraded ecosystem, further degradation is more costly, not less. This is the opposite of the marginal cost curve standard economics assumes.</w:t>
      </w:r>
    </w:p>
    <w:p>
      <w:pPr>
        <w:spacing w:before="80" w:after="160"/>
        <w:jc w:val="both"/>
      </w:pPr>
      <w:r>
        <w:rPr>
          <w:rFonts w:ascii="Arial" w:cs="Arial" w:eastAsia="Arial" w:hAnsi="Arial"/>
          <w:color w:val="1A1A1A"/>
          <w:sz w:val="22"/>
          <w:szCs w:val="22"/>
        </w:rPr>
        <w:t xml:space="preserve">The full economic cost of an extraction operation that cannot be reversed on human timescales is:</w:t>
      </w:r>
    </w:p>
    <w:p>
      <w:pPr>
        <w:spacing w:before="120" w:after="120"/>
        <w:jc w:val="center"/>
      </w:pPr>
      <w:r>
        <w:rPr>
          <w:rFonts w:ascii="Courier New" w:cs="Courier New" w:eastAsia="Courier New" w:hAnsi="Courier New"/>
          <w:b/>
          <w:bCs/>
          <w:color w:val="1F4E79"/>
          <w:sz w:val="22"/>
          <w:szCs w:val="22"/>
        </w:rPr>
        <w:t xml:space="preserve">C_true = C_extract + ∫₀^(τ_form) SCRIBE(t) + SECURE(t) + MODULATE(t) dt</w:t>
      </w:r>
    </w:p>
    <w:p>
      <w:pPr>
        <w:spacing w:before="80" w:after="160"/>
        <w:jc w:val="both"/>
      </w:pPr>
      <w:r>
        <w:rPr>
          <w:rFonts w:ascii="Arial" w:cs="Arial" w:eastAsia="Arial" w:hAnsi="Arial"/>
          <w:color w:val="1A1A1A"/>
          <w:sz w:val="22"/>
          <w:szCs w:val="22"/>
        </w:rPr>
        <w:t xml:space="preserve">The integral term is the cost of maintaining the Fabric state for the duration of formation time τ_form. For fossil fuels, this integral is evaluated over 300 million years. This cost is not externalized — it is simply not paid. The commitment is ANNIHILATED without compensation.</w:t>
      </w:r>
    </w:p>
    <w:p>
      <w:pPr>
        <w:spacing w:before="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6. Interaction Modes and Economic Exchange</w:t>
      </w:r>
    </w:p>
    <w:p>
      <w:pPr>
        <w:spacing w:before="80" w:after="160"/>
        <w:jc w:val="both"/>
      </w:pPr>
      <w:r>
        <w:rPr>
          <w:rFonts w:ascii="Arial" w:cs="Arial" w:eastAsia="Arial" w:hAnsi="Arial"/>
          <w:color w:val="1A1A1A"/>
          <w:sz w:val="22"/>
          <w:szCs w:val="22"/>
        </w:rPr>
        <w:t xml:space="preserve">Commitment Mathematics defines interaction modes by relational distance Rᴰ. The mode determines what operations are available and what value can be realized. This has direct economic implications.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400"/>
        <w:gridCol w:w="3360"/>
      </w:tblGrid>
      <w:tr>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Mode</w:t>
            </w:r>
          </w:p>
        </w:tc>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Rᴰ Range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Economic Analog</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Available Operations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Coupling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Rᴰ &lt; e^-3 ≈ 0.050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Deep partnership, family, cooperative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CRT, INC, ROT, JMP, RPR, ANL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Deep Interference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e^-3 ≤ Rᴰ &lt; e^-2 ≈ 0.135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Close collaboration, supply partnership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CRT, INC, ROT, RPR, ANL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Interference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e^-2 ≤ Rᴰ &lt; e^-1 ≈ 0.368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Contracted relationship, vendor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INC, RPR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Exchange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e^-1 ≤ Rᴰ &lt; 1-e^-1 ≈ 0.632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Market transaction, spot trade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INC via Medium of Exchange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Isolation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Rᴰ ≥ 1-e^-1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No viable economic relationship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Self-operations only</w:t>
            </w:r>
          </w:p>
        </w:tc>
      </w:tr>
    </w:tbl>
    <w:p>
      <w:pPr>
        <w:spacing w:before="0" w:after="80"/>
      </w:pPr>
      <w:r>
        <w:t xml:space="preserve"/>
      </w:r>
    </w:p>
    <w:p>
      <w:pPr>
        <w:spacing w:before="80" w:after="160"/>
        <w:jc w:val="both"/>
      </w:pPr>
      <w:r>
        <w:rPr>
          <w:rFonts w:ascii="Arial" w:cs="Arial" w:eastAsia="Arial" w:hAnsi="Arial"/>
          <w:color w:val="1A1A1A"/>
          <w:sz w:val="22"/>
          <w:szCs w:val="22"/>
        </w:rPr>
        <w:t xml:space="preserve">In Exchange mode, value transfer via INC requires a Medium of Exchange commitment C_ME with T=1, V=1, A=0.5. Currency is a formalization of this requirement: a commitment structure with maximum transferability and visibility, moderate assurance, that mediates frame differences between parties operating at exchange distances.</w:t>
      </w:r>
    </w:p>
    <w:p>
      <w:pPr>
        <w:spacing w:before="80" w:after="160"/>
        <w:jc w:val="both"/>
      </w:pPr>
      <w:r>
        <w:rPr>
          <w:rFonts w:ascii="Arial" w:cs="Arial" w:eastAsia="Arial" w:hAnsi="Arial"/>
          <w:color w:val="1A1A1A"/>
          <w:sz w:val="22"/>
          <w:szCs w:val="22"/>
        </w:rPr>
        <w:t xml:space="preserve">The efficiency of interaction falls as Rᴰ increases:</w:t>
      </w:r>
    </w:p>
    <w:p>
      <w:pPr>
        <w:spacing w:before="120" w:after="120"/>
        <w:jc w:val="center"/>
      </w:pPr>
      <w:r>
        <w:rPr>
          <w:rFonts w:ascii="Courier New" w:cs="Courier New" w:eastAsia="Courier New" w:hAnsi="Courier New"/>
          <w:b/>
          <w:bCs/>
          <w:color w:val="1F4E79"/>
          <w:sz w:val="22"/>
          <w:szCs w:val="22"/>
        </w:rPr>
        <w:t xml:space="preserve">Eff(Rᴰ) = e^(-c · Rᴰ)  where c = ln 10</w:t>
      </w:r>
    </w:p>
    <w:p>
      <w:pPr>
        <w:spacing w:before="80" w:after="160"/>
        <w:jc w:val="both"/>
      </w:pPr>
      <w:r>
        <w:rPr>
          <w:rFonts w:ascii="Arial" w:cs="Arial" w:eastAsia="Arial" w:hAnsi="Arial"/>
          <w:color w:val="1A1A1A"/>
          <w:sz w:val="22"/>
          <w:szCs w:val="22"/>
        </w:rPr>
        <w:t xml:space="preserve">At Rᴰ = 1-e^-1 (isolation threshold), Eff &lt; 0.25. Interaction is economically infeasible. This formalizes what practitioners observe: transactions between parties with radically different frames (cultural, institutional, temporal) destroy value. The destruction is not contingent — it follows from the geometry of the Fabric.</w:t>
      </w:r>
    </w:p>
    <w:p>
      <w:pPr>
        <w:spacing w:before="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7. Implications for Economic Institutions</w:t>
      </w:r>
    </w:p>
    <w:p>
      <w:pPr>
        <w:pStyle w:val="Heading2"/>
        <w:spacing w:before="280" w:after="100"/>
      </w:pPr>
      <w:r>
        <w:rPr>
          <w:rFonts w:ascii="Arial" w:cs="Arial" w:eastAsia="Arial" w:hAnsi="Arial"/>
          <w:b/>
          <w:bCs/>
          <w:color w:val="2E75B6"/>
          <w:sz w:val="26"/>
          <w:szCs w:val="26"/>
        </w:rPr>
        <w:t xml:space="preserve">7.1 What Institutions Are</w:t>
      </w:r>
    </w:p>
    <w:p>
      <w:pPr>
        <w:spacing w:before="80" w:after="160"/>
        <w:jc w:val="both"/>
      </w:pPr>
      <w:r>
        <w:rPr>
          <w:rFonts w:ascii="Arial" w:cs="Arial" w:eastAsia="Arial" w:hAnsi="Arial"/>
          <w:color w:val="1A1A1A"/>
          <w:sz w:val="22"/>
          <w:szCs w:val="22"/>
        </w:rPr>
        <w:t xml:space="preserve">Economic institutions are commitment structures that maintain Fabric coordinates above operational thresholds for productive activity. A functioning legal system maintains D (structural coherence of agreements). A functioning education system maintains μ (memory fidelity of productive knowledge). A stable energy system maintains λ within operational range.</w:t>
      </w:r>
    </w:p>
    <w:p>
      <w:pPr>
        <w:spacing w:before="80" w:after="160"/>
        <w:jc w:val="both"/>
      </w:pPr>
      <w:r>
        <w:rPr>
          <w:rFonts w:ascii="Arial" w:cs="Arial" w:eastAsia="Arial" w:hAnsi="Arial"/>
          <w:color w:val="1A1A1A"/>
          <w:sz w:val="22"/>
          <w:szCs w:val="22"/>
        </w:rPr>
        <w:t xml:space="preserve">Institutional degradation is Fabric degradation. When D falls below D_critical, the system loses the capacity for structured decision-making. When μ falls below μ_critical = 1/(2e), the system loses self-observation capacity. The degradation becomes self-reinforcing because MONITOR no longer functions to detect and trigger repair.</w:t>
      </w:r>
    </w:p>
    <w:p>
      <w:pPr>
        <w:pStyle w:val="Heading2"/>
        <w:spacing w:before="280" w:after="100"/>
      </w:pPr>
      <w:r>
        <w:rPr>
          <w:rFonts w:ascii="Arial" w:cs="Arial" w:eastAsia="Arial" w:hAnsi="Arial"/>
          <w:b/>
          <w:bCs/>
          <w:color w:val="2E75B6"/>
          <w:sz w:val="26"/>
          <w:szCs w:val="26"/>
        </w:rPr>
        <w:t xml:space="preserve">7.2 Adversarial Intrusions in Economic Systems</w:t>
      </w:r>
    </w:p>
    <w:p>
      <w:pPr>
        <w:spacing w:before="80" w:after="160"/>
        <w:jc w:val="both"/>
      </w:pPr>
      <w:r>
        <w:rPr>
          <w:rFonts w:ascii="Arial" w:cs="Arial" w:eastAsia="Arial" w:hAnsi="Arial"/>
          <w:color w:val="1A1A1A"/>
          <w:sz w:val="22"/>
          <w:szCs w:val="22"/>
        </w:rPr>
        <w:t xml:space="preserve">Commitment Mathematics identifies four adversarial intrusion types. Each has a direct economic manifestation:</w:t>
      </w:r>
    </w:p>
    <w:p>
      <w:pPr>
        <w:spacing w:before="80" w:after="160"/>
        <w:jc w:val="both"/>
      </w:pPr>
      <w:r>
        <w:rPr>
          <w:rFonts w:ascii="Arial" w:cs="Arial" w:eastAsia="Arial" w:hAnsi="Arial"/>
          <w:b/>
          <w:bCs/>
          <w:color w:val="1A1A1A"/>
          <w:sz w:val="22"/>
          <w:szCs w:val="22"/>
        </w:rPr>
        <w:t xml:space="preserve">COERCE</w:t>
      </w:r>
      <w:r>
        <w:rPr>
          <w:rFonts w:ascii="Arial" w:cs="Arial" w:eastAsia="Arial" w:hAnsi="Arial"/>
          <w:color w:val="1A1A1A"/>
          <w:sz w:val="22"/>
          <w:szCs w:val="22"/>
        </w:rPr>
        <w:t xml:space="preserve"> attacks Defense (D). Economic coercion — monopoly power, regulatory capture, sanctions — reduces structural coherence. Defended by SECURE: enforcement of property rights, antitrust, institutional independence.</w:t>
      </w:r>
    </w:p>
    <w:p>
      <w:pPr>
        <w:spacing w:before="80" w:after="160"/>
        <w:jc w:val="both"/>
      </w:pPr>
      <w:r>
        <w:rPr>
          <w:rFonts w:ascii="Arial" w:cs="Arial" w:eastAsia="Arial" w:hAnsi="Arial"/>
          <w:b/>
          <w:bCs/>
          <w:color w:val="1A1A1A"/>
          <w:sz w:val="22"/>
          <w:szCs w:val="22"/>
        </w:rPr>
        <w:t xml:space="preserve">DECEIVE</w:t>
      </w:r>
      <w:r>
        <w:rPr>
          <w:rFonts w:ascii="Arial" w:cs="Arial" w:eastAsia="Arial" w:hAnsi="Arial"/>
          <w:color w:val="1A1A1A"/>
          <w:sz w:val="22"/>
          <w:szCs w:val="22"/>
        </w:rPr>
        <w:t xml:space="preserve"> attacks Memory (μ). Fraud, misinformation, accounting manipulation — reduce memory fidelity of the economic system. Effectiveness scales with existing degradation: p_deceive = e^(-ln 2 · μ). When μ is already low, deception costs less.</w:t>
      </w:r>
    </w:p>
    <w:p>
      <w:pPr>
        <w:spacing w:before="80" w:after="160"/>
        <w:jc w:val="both"/>
      </w:pPr>
      <w:r>
        <w:rPr>
          <w:rFonts w:ascii="Arial" w:cs="Arial" w:eastAsia="Arial" w:hAnsi="Arial"/>
          <w:b/>
          <w:bCs/>
          <w:color w:val="1A1A1A"/>
          <w:sz w:val="22"/>
          <w:szCs w:val="22"/>
        </w:rPr>
        <w:t xml:space="preserve">EXTRACT</w:t>
      </w:r>
      <w:r>
        <w:rPr>
          <w:rFonts w:ascii="Arial" w:cs="Arial" w:eastAsia="Arial" w:hAnsi="Arial"/>
          <w:color w:val="1A1A1A"/>
          <w:sz w:val="22"/>
          <w:szCs w:val="22"/>
        </w:rPr>
        <w:t xml:space="preserve"> attacks Pulse (λ) and Compensation. Rent extraction, value extraction without reciprocity — drain without restoring. Defended by MODULATE: managing energy allocation to prevent depletion.</w:t>
      </w:r>
    </w:p>
    <w:p>
      <w:pPr>
        <w:spacing w:before="80" w:after="160"/>
        <w:jc w:val="both"/>
      </w:pPr>
      <w:r>
        <w:rPr>
          <w:rFonts w:ascii="Arial" w:cs="Arial" w:eastAsia="Arial" w:hAnsi="Arial"/>
          <w:b/>
          <w:bCs/>
          <w:color w:val="1A1A1A"/>
          <w:sz w:val="22"/>
          <w:szCs w:val="22"/>
        </w:rPr>
        <w:t xml:space="preserve">SABOTAGE</w:t>
      </w:r>
      <w:r>
        <w:rPr>
          <w:rFonts w:ascii="Arial" w:cs="Arial" w:eastAsia="Arial" w:hAnsi="Arial"/>
          <w:color w:val="1A1A1A"/>
          <w:sz w:val="22"/>
          <w:szCs w:val="22"/>
        </w:rPr>
        <w:t xml:space="preserve"> targets operations during EXECUTE. Disruption of productive activity — sabotage of supply chains, deliberate market failures. Defended by MONITOR + HANDLE.</w:t>
      </w:r>
    </w:p>
    <w:p>
      <w:pPr>
        <w:spacing w:before="80" w:after="160"/>
        <w:jc w:val="both"/>
      </w:pPr>
      <w:r>
        <w:rPr>
          <w:rFonts w:ascii="Arial" w:cs="Arial" w:eastAsia="Arial" w:hAnsi="Arial"/>
          <w:color w:val="1A1A1A"/>
          <w:sz w:val="22"/>
          <w:szCs w:val="22"/>
        </w:rPr>
        <w:t xml:space="preserve">The asymmetry matters: COERCE, DECEIVE, and EXTRACT are all structurally easier when D, μ, and λ are already degraded. Degraded Fabric increases vulnerability to further degradation. This is why economic crises compound: the intrusion types become more effective precisely as the system weakens.</w:t>
      </w:r>
    </w:p>
    <w:p>
      <w:pPr>
        <w:pStyle w:val="Heading2"/>
        <w:spacing w:before="280" w:after="100"/>
      </w:pPr>
      <w:r>
        <w:rPr>
          <w:rFonts w:ascii="Arial" w:cs="Arial" w:eastAsia="Arial" w:hAnsi="Arial"/>
          <w:b/>
          <w:bCs/>
          <w:color w:val="2E75B6"/>
          <w:sz w:val="26"/>
          <w:szCs w:val="26"/>
        </w:rPr>
        <w:t xml:space="preserve">7.3 The Dual Control Requirement</w:t>
      </w:r>
    </w:p>
    <w:p>
      <w:pPr>
        <w:spacing w:before="80" w:after="160"/>
        <w:jc w:val="both"/>
      </w:pPr>
      <w:r>
        <w:rPr>
          <w:rFonts w:ascii="Arial" w:cs="Arial" w:eastAsia="Arial" w:hAnsi="Arial"/>
          <w:color w:val="1A1A1A"/>
          <w:sz w:val="22"/>
          <w:szCs w:val="22"/>
        </w:rPr>
        <w:t xml:space="preserve">Every sustainable economic operation requires dual permission from generative and governance control:</w:t>
      </w:r>
    </w:p>
    <w:p>
      <w:pPr>
        <w:spacing w:before="120" w:after="120"/>
        <w:jc w:val="center"/>
      </w:pPr>
      <w:r>
        <w:rPr>
          <w:rFonts w:ascii="Courier New" w:cs="Courier New" w:eastAsia="Courier New" w:hAnsi="Courier New"/>
          <w:b/>
          <w:bCs/>
          <w:color w:val="1F4E79"/>
          <w:sz w:val="22"/>
          <w:szCs w:val="22"/>
        </w:rPr>
        <w:t xml:space="preserve">TEST ↔ MONITOR</w:t>
      </w:r>
    </w:p>
    <w:p>
      <w:pPr>
        <w:spacing w:before="80" w:after="160"/>
        <w:jc w:val="both"/>
      </w:pPr>
      <w:r>
        <w:rPr>
          <w:rFonts w:ascii="Arial" w:cs="Arial" w:eastAsia="Arial" w:hAnsi="Arial"/>
          <w:color w:val="1A1A1A"/>
          <w:sz w:val="22"/>
          <w:szCs w:val="22"/>
        </w:rPr>
        <w:t xml:space="preserve">TEST evaluates whether the proposed operation satisfies all requirements: frame alignment, mode permissions, resistance conditions, dependency validity. MONITOR evaluates whether Fabric coordinates permit the operation: D ≥ D_min, μ ≥ μ_min, λ within operational range.</w:t>
      </w:r>
    </w:p>
    <w:p>
      <w:pPr>
        <w:spacing w:before="80" w:after="160"/>
        <w:jc w:val="both"/>
      </w:pPr>
      <w:r>
        <w:rPr>
          <w:rFonts w:ascii="Arial" w:cs="Arial" w:eastAsia="Arial" w:hAnsi="Arial"/>
          <w:color w:val="1A1A1A"/>
          <w:sz w:val="22"/>
          <w:szCs w:val="22"/>
        </w:rPr>
        <w:t xml:space="preserve">An economic system with TEST but not MONITOR has transactional validity without systemic wisdom. It can execute valid transactions while the Fabric degrades beneath those transactions. This is the condition of contemporary market economies: individual transactions satisfy legal and contractual requirements (TEST passes) while the ecological and institutional substrate degrades (MONITOR absent or ignored).</w:t>
      </w:r>
    </w:p>
    <w:p>
      <w:pPr>
        <w:spacing w:before="80" w:after="160"/>
        <w:jc w:val="both"/>
      </w:pPr>
      <w:r>
        <w:rPr>
          <w:rFonts w:ascii="Arial" w:cs="Arial" w:eastAsia="Arial" w:hAnsi="Arial"/>
          <w:color w:val="1A1A1A"/>
          <w:sz w:val="22"/>
          <w:szCs w:val="22"/>
        </w:rPr>
        <w:t xml:space="preserve">An economic system with MONITOR but not TEST has systemic awareness without operational capacity. It can observe degradation but cannot execute the operations needed to address it. Effective economic institutions require both primitives as co-equals.</w:t>
      </w:r>
    </w:p>
    <w:p>
      <w:pPr>
        <w:spacing w:before="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8. A Formal Economic Ontology</w:t>
      </w:r>
    </w:p>
    <w:p>
      <w:pPr>
        <w:spacing w:before="80" w:after="160"/>
        <w:jc w:val="both"/>
      </w:pPr>
      <w:r>
        <w:rPr>
          <w:rFonts w:ascii="Arial" w:cs="Arial" w:eastAsia="Arial" w:hAnsi="Arial"/>
          <w:color w:val="1A1A1A"/>
          <w:sz w:val="22"/>
          <w:szCs w:val="22"/>
        </w:rPr>
        <w:t xml:space="preserve">The ontological shift from scalar to relational economics is not a policy preference. It is a recognition of the structure of what is being studied.</w:t>
      </w:r>
    </w:p>
    <w:p>
      <w:pPr>
        <w:pStyle w:val="Heading2"/>
        <w:spacing w:before="280" w:after="100"/>
      </w:pPr>
      <w:r>
        <w:rPr>
          <w:rFonts w:ascii="Arial" w:cs="Arial" w:eastAsia="Arial" w:hAnsi="Arial"/>
          <w:b/>
          <w:bCs/>
          <w:color w:val="2E75B6"/>
          <w:sz w:val="26"/>
          <w:szCs w:val="26"/>
        </w:rPr>
        <w:t xml:space="preserve">8.1 What Economic Activity Is</w:t>
      </w:r>
    </w:p>
    <w:p>
      <w:pPr>
        <w:spacing w:before="80" w:after="160"/>
        <w:jc w:val="both"/>
      </w:pPr>
      <w:r>
        <w:rPr>
          <w:rFonts w:ascii="Arial" w:cs="Arial" w:eastAsia="Arial" w:hAnsi="Arial"/>
          <w:color w:val="1A1A1A"/>
          <w:sz w:val="22"/>
          <w:szCs w:val="22"/>
        </w:rPr>
        <w:t xml:space="preserve">Economic activity is the operation of commitment primitives — CRT, INC, ROT, JMP, RPR, ANL — on commitment tensors T(Cⱼ) across a dependency graph G = (C, E). Value is realized when TEST returns +1, MONITOR confirms resource availability, and EXECUTE applies the operation cleanly.</w:t>
      </w:r>
    </w:p>
    <w:p>
      <w:pPr>
        <w:spacing w:before="80" w:after="160"/>
        <w:jc w:val="both"/>
      </w:pPr>
      <w:r>
        <w:rPr>
          <w:rFonts w:ascii="Arial" w:cs="Arial" w:eastAsia="Arial" w:hAnsi="Arial"/>
          <w:color w:val="1A1A1A"/>
          <w:sz w:val="22"/>
          <w:szCs w:val="22"/>
        </w:rPr>
        <w:t xml:space="preserve">The total relational value in any economic system is path-invariant:</w:t>
      </w:r>
    </w:p>
    <w:p>
      <w:pPr>
        <w:spacing w:before="120" w:after="120"/>
        <w:jc w:val="center"/>
      </w:pPr>
      <w:r>
        <w:rPr>
          <w:rFonts w:ascii="Courier New" w:cs="Courier New" w:eastAsia="Courier New" w:hAnsi="Courier New"/>
          <w:b/>
          <w:bCs/>
          <w:color w:val="1F4E79"/>
          <w:sz w:val="22"/>
          <w:szCs w:val="22"/>
        </w:rPr>
        <w:t xml:space="preserve">RV_total is conserved along any path Π</w:t>
      </w:r>
    </w:p>
    <w:p>
      <w:pPr>
        <w:spacing w:before="80" w:after="160"/>
        <w:jc w:val="both"/>
      </w:pPr>
      <w:r>
        <w:rPr>
          <w:rFonts w:ascii="Arial" w:cs="Arial" w:eastAsia="Arial" w:hAnsi="Arial"/>
          <w:color w:val="1A1A1A"/>
          <w:sz w:val="22"/>
          <w:szCs w:val="22"/>
        </w:rPr>
        <w:t xml:space="preserve">Value is not created or destroyed by economic activity. It is converted between forms: exchange value (EV), coherence (Φ), and generative potential (Ψ). Operations that convert generative potential to exchange value without restoring it are drawing down the Fabric. They are sustainable only if Ψ can be replenished within the operational timescale.</w:t>
      </w:r>
    </w:p>
    <w:p>
      <w:pPr>
        <w:pStyle w:val="Heading2"/>
        <w:spacing w:before="280" w:after="100"/>
      </w:pPr>
      <w:r>
        <w:rPr>
          <w:rFonts w:ascii="Arial" w:cs="Arial" w:eastAsia="Arial" w:hAnsi="Arial"/>
          <w:b/>
          <w:bCs/>
          <w:color w:val="2E75B6"/>
          <w:sz w:val="26"/>
          <w:szCs w:val="26"/>
        </w:rPr>
        <w:t xml:space="preserve">8.2 The Primary Economic Constraint</w:t>
      </w:r>
    </w:p>
    <w:p>
      <w:pPr>
        <w:spacing w:before="80" w:after="160"/>
        <w:jc w:val="both"/>
      </w:pPr>
      <w:r>
        <w:rPr>
          <w:rFonts w:ascii="Arial" w:cs="Arial" w:eastAsia="Arial" w:hAnsi="Arial"/>
          <w:color w:val="1A1A1A"/>
          <w:sz w:val="22"/>
          <w:szCs w:val="22"/>
        </w:rPr>
        <w:t xml:space="preserve">The primary constraint on all economic activity follows directly from the rate asymmetry:</w:t>
      </w:r>
    </w:p>
    <w:p>
      <w:pPr>
        <w:pBdr>
          <w:left w:val="single" w:color="2E75B6" w:sz="12" w:space="12"/>
        </w:pBdr>
        <w:spacing w:before="120" w:after="120"/>
        <w:ind w:left="720" w:right="720"/>
        <w:jc w:val="left"/>
      </w:pPr>
      <w:r>
        <w:rPr>
          <w:rFonts w:ascii="Arial" w:cs="Arial" w:eastAsia="Arial" w:hAnsi="Arial"/>
          <w:i/>
          <w:iCs/>
          <w:color w:val="595959"/>
          <w:sz w:val="22"/>
          <w:szCs w:val="22"/>
        </w:rPr>
        <w:t xml:space="preserve">No economic operation that converts D and μ to λ at a rate exceeding the formation rate can be sustained. The only question is whether the system detects and corrects the imbalance before MONITOR loses function.</w:t>
      </w:r>
    </w:p>
    <w:p>
      <w:pPr>
        <w:spacing w:before="80" w:after="160"/>
        <w:jc w:val="both"/>
      </w:pPr>
      <w:r>
        <w:rPr>
          <w:rFonts w:ascii="Arial" w:cs="Arial" w:eastAsia="Arial" w:hAnsi="Arial"/>
          <w:color w:val="1A1A1A"/>
          <w:sz w:val="22"/>
          <w:szCs w:val="22"/>
        </w:rPr>
        <w:t xml:space="preserve">This is not an environmental claim about preferences for nature. It is a structural claim about Fabric dynamics. A system operating with Gen &lt; 1 is contracting. A system in which μ falls below μ_critical loses the capacity to observe and correct its own contraction. Recovery then requires external stabilization, which may not be available at sufficient scale.</w:t>
      </w:r>
    </w:p>
    <w:p>
      <w:pPr>
        <w:pStyle w:val="Heading2"/>
        <w:spacing w:before="280" w:after="100"/>
      </w:pPr>
      <w:r>
        <w:rPr>
          <w:rFonts w:ascii="Arial" w:cs="Arial" w:eastAsia="Arial" w:hAnsi="Arial"/>
          <w:b/>
          <w:bCs/>
          <w:color w:val="2E75B6"/>
          <w:sz w:val="26"/>
          <w:szCs w:val="26"/>
        </w:rPr>
        <w:t xml:space="preserve">8.3 The Generative Economy</w:t>
      </w:r>
    </w:p>
    <w:p>
      <w:pPr>
        <w:spacing w:before="80" w:after="160"/>
        <w:jc w:val="both"/>
      </w:pPr>
      <w:r>
        <w:rPr>
          <w:rFonts w:ascii="Arial" w:cs="Arial" w:eastAsia="Arial" w:hAnsi="Arial"/>
          <w:color w:val="1A1A1A"/>
          <w:sz w:val="22"/>
          <w:szCs w:val="22"/>
        </w:rPr>
        <w:t xml:space="preserve">A generative economy maintains Gen(S) &gt; 1. This requires:</w:t>
      </w:r>
    </w:p>
    <w:p>
      <w:pPr>
        <w:spacing w:before="60" w:after="60"/>
        <w:ind w:left="360"/>
      </w:pPr>
      <w:r>
        <w:rPr>
          <w:rFonts w:ascii="Arial" w:cs="Arial" w:eastAsia="Arial" w:hAnsi="Arial"/>
          <w:color w:val="1A1A1A"/>
          <w:sz w:val="22"/>
          <w:szCs w:val="22"/>
        </w:rPr>
        <w:t xml:space="preserve">1.  Maintaining μ above μ_critical through continuous SCRIBE operations: institutional memory, ecological knowledge, cultural practices that encode productive capacity.</w:t>
      </w:r>
    </w:p>
    <w:p>
      <w:pPr>
        <w:spacing w:before="60" w:after="60"/>
        <w:ind w:left="360"/>
      </w:pPr>
      <w:r>
        <w:rPr>
          <w:rFonts w:ascii="Arial" w:cs="Arial" w:eastAsia="Arial" w:hAnsi="Arial"/>
          <w:color w:val="1A1A1A"/>
          <w:sz w:val="22"/>
          <w:szCs w:val="22"/>
        </w:rPr>
        <w:t xml:space="preserve">2.  Maintaining D above D_critical through continuous SECURE operations: structural coherence of agreements, institutions, and productive systems.</w:t>
      </w:r>
    </w:p>
    <w:p>
      <w:pPr>
        <w:spacing w:before="60" w:after="60"/>
        <w:ind w:left="360"/>
      </w:pPr>
      <w:r>
        <w:rPr>
          <w:rFonts w:ascii="Arial" w:cs="Arial" w:eastAsia="Arial" w:hAnsi="Arial"/>
          <w:color w:val="1A1A1A"/>
          <w:sz w:val="22"/>
          <w:szCs w:val="22"/>
        </w:rPr>
        <w:t xml:space="preserve">3.  Maintaining λ within operational range through MODULATE: neither depleted nor in runaway excitation.</w:t>
      </w:r>
    </w:p>
    <w:p>
      <w:pPr>
        <w:spacing w:before="60" w:after="60"/>
        <w:ind w:left="360"/>
      </w:pPr>
      <w:r>
        <w:rPr>
          <w:rFonts w:ascii="Arial" w:cs="Arial" w:eastAsia="Arial" w:hAnsi="Arial"/>
          <w:color w:val="1A1A1A"/>
          <w:sz w:val="22"/>
          <w:szCs w:val="22"/>
        </w:rPr>
        <w:t xml:space="preserve">4.  Restricting conversion of D and μ to λ to rates at which formation can provide replacement on human timescales. Where geological formation is the only source of replacement, restricting extraction to near-zero.</w:t>
      </w:r>
    </w:p>
    <w:p>
      <w:pPr>
        <w:spacing w:before="0" w:after="80"/>
      </w:pPr>
      <w:r>
        <w:t xml:space="preserve"/>
      </w:r>
    </w:p>
    <w:p>
      <w:pPr>
        <w:spacing w:before="80" w:after="160"/>
        <w:jc w:val="both"/>
      </w:pPr>
      <w:r>
        <w:rPr>
          <w:rFonts w:ascii="Arial" w:cs="Arial" w:eastAsia="Arial" w:hAnsi="Arial"/>
          <w:color w:val="1A1A1A"/>
          <w:sz w:val="22"/>
          <w:szCs w:val="22"/>
        </w:rPr>
        <w:t xml:space="preserve">Condition 4 is the operative constraint. For fossil fuels, near-zero extraction is the structural requirement for Gen &gt; 1. For renewable resources — where μ and D can be restored on human timescales — the constraint is more permissive but equally binding: extraction cannot exceed restoration rate.</w:t>
      </w:r>
    </w:p>
    <w:p>
      <w:pPr>
        <w:spacing w:before="0" w:after="8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9. Conclusion</w:t>
      </w:r>
    </w:p>
    <w:p>
      <w:pPr>
        <w:spacing w:before="80" w:after="160"/>
        <w:jc w:val="both"/>
      </w:pPr>
      <w:r>
        <w:rPr>
          <w:rFonts w:ascii="Arial" w:cs="Arial" w:eastAsia="Arial" w:hAnsi="Arial"/>
          <w:color w:val="1A1A1A"/>
          <w:sz w:val="22"/>
          <w:szCs w:val="22"/>
        </w:rPr>
        <w:t xml:space="preserve">Economics has lacked an ontological foundation. It has measured CV₀ — the one-dimensional liability perspective — while the six-dimensional realization structure remained invisible. The result is a discipline that can measure exchange value with precision while destroying the Fabric coordinates on which all exchange value depends.</w:t>
      </w:r>
    </w:p>
    <w:p>
      <w:pPr>
        <w:spacing w:before="80" w:after="160"/>
        <w:jc w:val="both"/>
      </w:pPr>
      <w:r>
        <w:rPr>
          <w:rFonts w:ascii="Arial" w:cs="Arial" w:eastAsia="Arial" w:hAnsi="Arial"/>
          <w:color w:val="1A1A1A"/>
          <w:sz w:val="22"/>
          <w:szCs w:val="22"/>
        </w:rPr>
        <w:t xml:space="preserve">The rate asymmetry is the primary fact. The Earth converts λ to D and μ over millions of years. Human economic activity converts D and μ back to λ in days to years. The ratio is 10⁶ for fossil fuels. This is not a parameter that can be adjusted. It is a structural condition of the Fabric.</w:t>
      </w:r>
    </w:p>
    <w:p>
      <w:pPr>
        <w:spacing w:before="80" w:after="160"/>
        <w:jc w:val="both"/>
      </w:pPr>
      <w:r>
        <w:rPr>
          <w:rFonts w:ascii="Arial" w:cs="Arial" w:eastAsia="Arial" w:hAnsi="Arial"/>
          <w:color w:val="1A1A1A"/>
          <w:sz w:val="22"/>
          <w:szCs w:val="22"/>
        </w:rPr>
        <w:t xml:space="preserve">An economics grounded in Commitment Mathematics does not optimize for exchange value subject to constraints. It maintains Fabric coordinates as the primary objective, within which exchange value is realized. The distinction is not semantic. Gen(S) &gt; 1 is the condition for any sustained realization of value. Below this threshold, economic activity is consuming its own substrate.</w:t>
      </w:r>
    </w:p>
    <w:p>
      <w:pPr>
        <w:spacing w:before="80" w:after="160"/>
        <w:jc w:val="both"/>
      </w:pPr>
      <w:r>
        <w:rPr>
          <w:rFonts w:ascii="Arial" w:cs="Arial" w:eastAsia="Arial" w:hAnsi="Arial"/>
          <w:color w:val="1A1A1A"/>
          <w:sz w:val="22"/>
          <w:szCs w:val="22"/>
        </w:rPr>
        <w:t xml:space="preserve">The formal tools are available. Commitment Mathematics provides the operators, conservation laws, interaction modes, and control architecture needed to build economic models that are internally coherent with what is actually occurring. The ontological shift from 1D scalar to 6D relational is the foundation on which those models can be built.</w:t>
      </w:r>
    </w:p>
    <w:p>
      <w:pPr>
        <w:spacing w:before="0" w:after="80"/>
      </w:pPr>
      <w:r>
        <w:t xml:space="preserve"/>
      </w:r>
    </w:p>
    <w:p>
      <w:pPr>
        <w:pBdr>
          <w:top w:val="single" w:color="2E75B6" w:sz="6" w:space="6"/>
        </w:pBdr>
        <w:spacing w:before="360" w:after="120"/>
      </w:pPr>
      <w:r>
        <w:rPr>
          <w:rFonts w:ascii="Arial" w:cs="Arial" w:eastAsia="Arial" w:hAnsi="Arial"/>
          <w:b/>
          <w:bCs/>
          <w:color w:val="1F4E79"/>
          <w:sz w:val="26"/>
          <w:szCs w:val="26"/>
        </w:rPr>
        <w:t xml:space="preserve">References</w:t>
      </w:r>
    </w:p>
    <w:p>
      <w:pPr>
        <w:spacing w:before="80" w:after="160"/>
        <w:jc w:val="both"/>
      </w:pPr>
      <w:r>
        <w:rPr>
          <w:rFonts w:ascii="Arial" w:cs="Arial" w:eastAsia="Arial" w:hAnsi="Arial"/>
          <w:color w:val="1A1A1A"/>
          <w:sz w:val="22"/>
          <w:szCs w:val="22"/>
        </w:rPr>
        <w:t xml:space="preserve">Isong, O.B. (2026). Commitment Mathematics: Complete Formalism 4.0. Genie Capital Ltd.</w:t>
      </w:r>
    </w:p>
    <w:p>
      <w:pPr>
        <w:spacing w:before="80" w:after="160"/>
        <w:jc w:val="both"/>
      </w:pPr>
      <w:r>
        <w:rPr>
          <w:rFonts w:ascii="Arial" w:cs="Arial" w:eastAsia="Arial" w:hAnsi="Arial"/>
          <w:color w:val="1A1A1A"/>
          <w:sz w:val="22"/>
          <w:szCs w:val="22"/>
        </w:rPr>
        <w:t xml:space="preserve">Isong, O.B. (2026). From 1D to 6D: The Relational Foundation of Reality. Genie Capital Ltd.</w:t>
      </w:r>
    </w:p>
    <w:p>
      <w:pPr>
        <w:spacing w:before="80" w:after="160"/>
        <w:jc w:val="both"/>
      </w:pPr>
      <w:r>
        <w:rPr>
          <w:rFonts w:ascii="Arial" w:cs="Arial" w:eastAsia="Arial" w:hAnsi="Arial"/>
          <w:color w:val="1A1A1A"/>
          <w:sz w:val="22"/>
          <w:szCs w:val="22"/>
        </w:rPr>
        <w:t xml:space="preserve">Isong, O.B. (2026). Ubuntu || Commitment Mathematics: The Formalization of Relational Ontology. Genie Capital Ltd.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2026-02-13T16:38:58.574Z</dcterms:created>
  <dcterms:modified xsi:type="dcterms:W3CDTF">2026-02-13T16:38:58.575Z</dcterms:modified>
</cp:coreProperties>
</file>

<file path=docProps/custom.xml><?xml version="1.0" encoding="utf-8"?>
<Properties xmlns="http://schemas.openxmlformats.org/officeDocument/2006/custom-properties" xmlns:vt="http://schemas.openxmlformats.org/officeDocument/2006/docPropsVTypes"/>
</file>