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60"/>
        <w:jc w:val="center"/>
        <w:rPr/>
      </w:pPr>
      <w:r>
        <w:rPr>
          <w:rFonts w:eastAsia="Arial" w:cs="Arial"/>
          <w:b/>
          <w:bCs/>
          <w:color w:val="1F3864"/>
          <w:sz w:val="48"/>
          <w:szCs w:val="48"/>
        </w:rPr>
        <w:t>RELATIONAL STREAMS</w:t>
      </w:r>
    </w:p>
    <w:p>
      <w:pPr>
        <w:pStyle w:val="Normal"/>
        <w:spacing w:before="20" w:after="20"/>
        <w:jc w:val="center"/>
        <w:rPr/>
      </w:pPr>
      <w:r>
        <w:rPr>
          <w:rFonts w:eastAsia="Arial" w:cs="Arial"/>
          <w:i/>
          <w:iCs/>
          <w:color w:val="2E5090"/>
          <w:sz w:val="24"/>
          <w:szCs w:val="24"/>
        </w:rPr>
        <w:t>The Four Paths from the Commitment to the Two Relational Value Invariants</w:t>
      </w:r>
    </w:p>
    <w:p>
      <w:pPr>
        <w:pStyle w:val="Normal"/>
        <w:spacing w:before="20" w:after="20"/>
        <w:jc w:val="center"/>
        <w:rPr/>
      </w:pPr>
      <w:r>
        <w:rPr>
          <w:rFonts w:eastAsia="Arial" w:cs="Arial"/>
          <w:color w:val="2E5090"/>
          <w:sz w:val="22"/>
          <w:szCs w:val="22"/>
        </w:rPr>
        <w:t>Commitment Mathematics v5.3</w:t>
      </w:r>
    </w:p>
    <w:p>
      <w:pPr>
        <w:pStyle w:val="Normal"/>
        <w:spacing w:before="40" w:after="200"/>
        <w:jc w:val="center"/>
        <w:rPr/>
      </w:pPr>
      <w:r>
        <w:rPr>
          <w:rFonts w:eastAsia="Arial" w:cs="Arial"/>
          <w:color w:val="444444"/>
          <w:sz w:val="19"/>
          <w:szCs w:val="19"/>
        </w:rPr>
        <w:t>Otto Beseka Isong  •  Genie Capital Ltd  •  CC-BY-NC-SA</w:t>
      </w:r>
    </w:p>
    <w:tbl>
      <w:tblPr>
        <w:tblW w:w="9360" w:type="dxa"/>
        <w:jc w:val="start"/>
        <w:tblInd w:w="0" w:type="dxa"/>
        <w:tblLayout w:type="fixed"/>
        <w:tblCellMar>
          <w:top w:w="140" w:type="dxa"/>
          <w:start w:w="220" w:type="dxa"/>
          <w:bottom w:w="140" w:type="dxa"/>
          <w:end w:w="220" w:type="dxa"/>
        </w:tblCellMar>
      </w:tblPr>
      <w:tblGrid>
        <w:gridCol w:w="9360"/>
      </w:tblGrid>
      <w:tr>
        <w:trPr/>
        <w:tc>
          <w:tcPr>
            <w:tcW w:w="9360" w:type="dxa"/>
            <w:tcBorders>
              <w:top w:val="single" w:sz="2" w:space="0" w:color="2E5090"/>
              <w:start w:val="single" w:sz="2" w:space="0" w:color="2E5090"/>
              <w:bottom w:val="single" w:sz="2" w:space="0" w:color="2E5090"/>
              <w:end w:val="single" w:sz="2" w:space="0" w:color="2E5090"/>
            </w:tcBorders>
            <w:shd w:fill="F0F4FA" w:val="clear"/>
          </w:tcPr>
          <w:p>
            <w:pPr>
              <w:pStyle w:val="Normal"/>
              <w:spacing w:before="55" w:after="55"/>
              <w:jc w:val="both"/>
              <w:rPr/>
            </w:pPr>
            <w:r>
              <w:rPr>
                <w:rFonts w:eastAsia="Arial" w:cs="Arial"/>
                <w:b w:val="false"/>
                <w:bCs w:val="false"/>
                <w:color w:val="000000"/>
                <w:sz w:val="21"/>
                <w:szCs w:val="21"/>
              </w:rPr>
              <w:t>The commitment C = (L, H, P, CV₀) has three anchor parameters: Visibility (V), Assurance (A), and Transferability (T). Each parameter does not merely contribute a factor to a value formula. Each traces a complete path through the framework, passing through six structural layers, and terminates in a specific entry across the two Relational Value Invariants — the Stock Invariant (RV_total) and the Flow Invariant (RV_factor).</w:t>
            </w:r>
          </w:p>
          <w:p>
            <w:pPr>
              <w:pStyle w:val="Normal"/>
              <w:spacing w:before="55" w:after="55"/>
              <w:jc w:val="both"/>
              <w:rPr/>
            </w:pPr>
            <w:r>
              <w:rPr>
                <w:rFonts w:eastAsia="Arial" w:cs="Arial"/>
                <w:b w:val="false"/>
                <w:bCs w:val="false"/>
                <w:color w:val="000000"/>
                <w:sz w:val="21"/>
                <w:szCs w:val="21"/>
              </w:rPr>
              <w:t>These paths are the Relational Streams. They are not design choices and not imposed on the framework from outside. They are consequences of the commitment primitive’s structure, discovered by asking what each anchor parameter does at every layer of the framework.</w:t>
            </w:r>
          </w:p>
          <w:p>
            <w:pPr>
              <w:pStyle w:val="Normal"/>
              <w:spacing w:before="55" w:after="55"/>
              <w:jc w:val="both"/>
              <w:rPr/>
            </w:pPr>
            <w:r>
              <w:rPr>
                <w:rFonts w:eastAsia="Arial" w:cs="Arial"/>
                <w:b w:val="false"/>
                <w:bCs w:val="false"/>
                <w:color w:val="000000"/>
                <w:sz w:val="21"/>
                <w:szCs w:val="21"/>
              </w:rPr>
              <w:t>A fourth stream carries CV_realized — the realized value that integrates all three anchor parameters — through a different set of six layers and terminates in RV_factor as a whole: the Flow Invariant is the integrative expression of all four streams operating simultaneously. Stream 4 is the generative stream. Without it, the other streams have nothing to generate, and RV_factor collapses.</w:t>
            </w:r>
          </w:p>
        </w:tc>
      </w:tr>
    </w:tbl>
    <w:p>
      <w:pPr>
        <w:pStyle w:val="Normal"/>
        <w:spacing w:before="80" w:after="80"/>
        <w:rPr/>
      </w:pPr>
      <w:r>
        <w:rPr/>
      </w:r>
    </w:p>
    <w:p>
      <w:pPr>
        <w:pStyle w:val="Heading2"/>
        <w:spacing w:before="260" w:after="100"/>
        <w:rPr/>
      </w:pPr>
      <w:r>
        <w:rPr>
          <w:rFonts w:eastAsia="Arial" w:cs="Arial" w:ascii="Arial" w:hAnsi="Arial"/>
          <w:b/>
          <w:bCs/>
          <w:color w:val="1F3864"/>
          <w:sz w:val="26"/>
          <w:szCs w:val="26"/>
        </w:rPr>
        <w:t>The Six Structural Layers</w:t>
      </w:r>
    </w:p>
    <w:p>
      <w:pPr>
        <w:pStyle w:val="Normal"/>
        <w:spacing w:before="80" w:after="80"/>
        <w:jc w:val="both"/>
        <w:rPr/>
      </w:pPr>
      <w:r>
        <w:rPr>
          <w:rFonts w:eastAsia="Arial" w:cs="Arial"/>
          <w:b w:val="false"/>
          <w:bCs w:val="false"/>
          <w:i w:val="false"/>
          <w:iCs w:val="false"/>
          <w:color w:val="000000"/>
          <w:sz w:val="22"/>
          <w:szCs w:val="22"/>
        </w:rPr>
        <w:t>Every stream passes through the same six layers in sequence. The layers are not arbitrary divisions — each represents a distinct structural function that every anchor parameter must traverse before its contribution to the invariant can be stated.</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Layer</w:t>
            </w:r>
          </w:p>
        </w:tc>
        <w:tc>
          <w:tcPr>
            <w:tcW w:w="4679"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Function</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1. Intermediate Concept</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The mechanism through which the anchor parameter is expressed in relational structure. This is not the parameter itself but the structural role it plays.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2. Fabric Coordinate</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The Fabric variable that tracks the parameter’s state at the network level. Per-commitment coordinates are exact functions of anchor parameters.</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3. Governance Primitive</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The MONITOR execution primitive that sustains the Fabric coordinate against spontaneous drift at every TEST-MONITOR cycle tick.</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4. Infrastructure Commitment</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The commitment type whose pledge is to protect and restore the Fabric coordinate against the dissipative forces of the base operations.</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5. Emergent Structure</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The network-level phenomenon that arises when the Fabric coordinate is healthy. Emergent structures are consequences, not primitives.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6. RV_total + RV_factor</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The terminal point of the stream: the term or factor in the two Relational Value Invariants to which this stream contributes, and which it protects.</w:t>
            </w:r>
          </w:p>
        </w:tc>
      </w:tr>
    </w:tbl>
    <w:p>
      <w:pPr>
        <w:pStyle w:val="Normal"/>
        <w:spacing w:before="80" w:after="80"/>
        <w:rPr/>
      </w:pPr>
      <w:r>
        <w:rPr/>
      </w:r>
    </w:p>
    <w:p>
      <w:pPr>
        <w:pStyle w:val="Normal"/>
        <w:pBdr>
          <w:bottom w:val="single" w:sz="4" w:space="0" w:color="1F3864"/>
        </w:pBdr>
        <w:spacing w:before="200" w:after="200"/>
        <w:rPr/>
      </w:pPr>
      <w:r>
        <w:rPr/>
      </w:r>
    </w:p>
    <w:tbl>
      <w:tblPr>
        <w:tblW w:w="9360" w:type="dxa"/>
        <w:jc w:val="start"/>
        <w:tblInd w:w="0" w:type="dxa"/>
        <w:tblLayout w:type="fixed"/>
        <w:tblCellMar>
          <w:top w:w="100" w:type="dxa"/>
          <w:start w:w="80" w:type="dxa"/>
          <w:bottom w:w="100" w:type="dxa"/>
          <w:end w:w="80" w:type="dxa"/>
        </w:tblCellMar>
      </w:tblPr>
      <w:tblGrid>
        <w:gridCol w:w="599"/>
        <w:gridCol w:w="8760"/>
      </w:tblGrid>
      <w:tr>
        <w:trPr/>
        <w:tc>
          <w:tcPr>
            <w:tcW w:w="599"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30"/>
                <w:szCs w:val="30"/>
              </w:rPr>
              <w:t>1</w:t>
            </w:r>
          </w:p>
        </w:tc>
        <w:tc>
          <w:tcPr>
            <w:tcW w:w="8760" w:type="dxa"/>
            <w:tcBorders>
              <w:top w:val="single" w:sz="2" w:space="0" w:color="1A5C3A"/>
              <w:start w:val="single" w:sz="2" w:space="0" w:color="1A5C3A"/>
              <w:bottom w:val="single" w:sz="2" w:space="0" w:color="1A5C3A"/>
              <w:end w:val="single" w:sz="2" w:space="0" w:color="1A5C3A"/>
            </w:tcBorders>
            <w:shd w:fill="2A7A4F" w:val="clear"/>
            <w:tcMar>
              <w:start w:w="180" w:type="dxa"/>
              <w:end w:w="180" w:type="dxa"/>
            </w:tcMar>
          </w:tcPr>
          <w:p>
            <w:pPr>
              <w:pStyle w:val="Normal"/>
              <w:spacing w:before="20" w:after="10"/>
              <w:rPr/>
            </w:pPr>
            <w:r>
              <w:rPr>
                <w:rFonts w:eastAsia="Arial" w:cs="Arial"/>
                <w:b/>
                <w:bCs/>
                <w:color w:val="FFFFFF"/>
                <w:sz w:val="28"/>
                <w:szCs w:val="28"/>
              </w:rPr>
              <w:t>The Visibility Stream</w:t>
            </w:r>
          </w:p>
          <w:p>
            <w:pPr>
              <w:pStyle w:val="Normal"/>
              <w:spacing w:before="0" w:after="20"/>
              <w:rPr/>
            </w:pPr>
            <w:r>
              <w:rPr>
                <w:rFonts w:eastAsia="Arial" w:cs="Arial"/>
                <w:i/>
                <w:iCs/>
                <w:color w:val="D0E4FF"/>
                <w:sz w:val="19"/>
                <w:szCs w:val="19"/>
              </w:rPr>
              <w:t>V → Frame → Memory → SCRIBE → Archive → Temporal Entanglement → Alignment</w:t>
            </w:r>
          </w:p>
        </w:tc>
      </w:tr>
    </w:tbl>
    <w:p>
      <w:pPr>
        <w:pStyle w:val="Normal"/>
        <w:spacing w:before="80" w:after="80"/>
        <w:rPr/>
      </w:pPr>
      <w:r>
        <w:rPr/>
      </w:r>
    </w:p>
    <w:p>
      <w:pPr>
        <w:pStyle w:val="Normal"/>
        <w:spacing w:before="80" w:after="80"/>
        <w:jc w:val="both"/>
        <w:rPr/>
      </w:pPr>
      <w:r>
        <w:rPr>
          <w:rFonts w:eastAsia="Arial" w:cs="Arial"/>
          <w:b w:val="false"/>
          <w:bCs w:val="false"/>
          <w:i w:val="false"/>
          <w:iCs w:val="false"/>
          <w:color w:val="000000"/>
          <w:sz w:val="22"/>
          <w:szCs w:val="22"/>
        </w:rPr>
        <w:t>Visibility (V) measures the degree to which a commitment’s content, conditions, and state are accessible to the Holding Entity. V ∈ [0,1]. When V = 0 the commitment is entirely opaque to H. When V = 1 it is fully transparent. V does not govern the commitment’s strength or stability — it governs whether the commitment’s content can be known.</w:t>
      </w:r>
    </w:p>
    <w:p>
      <w:pPr>
        <w:pStyle w:val="Normal"/>
        <w:spacing w:before="80" w:after="80"/>
        <w:jc w:val="both"/>
        <w:rPr/>
      </w:pPr>
      <w:r>
        <w:rPr>
          <w:rFonts w:eastAsia="Arial" w:cs="Arial"/>
          <w:b w:val="false"/>
          <w:bCs w:val="false"/>
          <w:i w:val="false"/>
          <w:iCs w:val="false"/>
          <w:color w:val="000000"/>
          <w:sz w:val="22"/>
          <w:szCs w:val="22"/>
        </w:rPr>
        <w:t>V enters the framework through the Framing Generator: it modulates the frame superposition Φ = Σ_k W_k e^(iθ_k) by determining how much of the phase structure is observable. The immediate consequence is that V is not a scalar contribution to CV_realized but a structural input to the relational geometry itself. What you cannot see cannot be phase-aligned with. V is the prerequisite for frame coherence.</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Source Visibility (V)</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V ∈ [0,1] is the anchor parameter governing observability. It enters the commitment tensor as the amplitude of the frame superposition: the degree to which the phase structure Φ = Σ_k W_k e^(iθ_k) is accessible to H. CV_realized = CV₀ · V · A · (1+T) · max(0, ℐ) · e^(−kd). V is a direct factor in realized value.</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Layer 1 Intermediate: Frame</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V is expressed through the Frame: the organized structure of phase weights W_k and angles θ_k through which a commitment projects relational meaning. A commitment with high V has a legible Frame — its phase structure is accessible to others. A commitment with low V has an opaque Frame regardless of what it contains. Frame coherence between two commitments requires both to be visible to each other. This is why V is the first parameter in the dual valuation formula: value cannot be held without being seen.</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Layer 2 Fabric Coordinate: Memory (μ)</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μ_local(C_j) = R_o × T_r × S × R_e × I. Memory is the capacity to maintain and accurately transmit frame content over the commitment’s operational history. Any component equal to zero drives μ_local to zero. Memory is not merely storage — it is the Fabric’s record of what has been agreed, what phases were established, and what can therefore be recovered. V and μ are related through a direct structural dependence: a commitment that has never been visible cannot build a reliable Memory record.</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Layer 3 Governance: SCRIBE</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SCRIBE is the MONITOR execution primitive responsible for μ_sys. At every TEST-MONITOR cycle tick, SCRIBE writes commitment state to the Archive, maintaining the record against which future recovery is possible. SCRIBE regulates μ against the spontaneous degradation built into the base operations: every VIOLATE, every high-λ event, every abandoned negotiation leaves a mark on Memory. SCRIBE’s function is continuous inscription — the commitment’s phase history is written at every tick so that it can be retrieved when needed.</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Layer 4 Infrastructure: Archive</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The Archive’s pledge is to preserve and restore μ content. It receives SCRIBE’s writes continuously. When REPAIR is needed, it is the Archive that provides the ground-truth record of the commitment’s prior state. Memory restoration must precede all other interventions: a Boundary cannot protect what has been forgotten; a Reserve cannot buffer excitation in a system that has lost its operational record. The Archive is not optional infrastructure — it is the prerequisite for all other infrastructure to function. An Archive that has been compromised does not degrade gracefully: it corrupts frame phase records, increasing global misalignment m and driving the alignment factor (B−m)/(B+m) toward zero.</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Layer 5 Emergent Structure: Temporal Entanglement</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When μ is healthy across the network, a specific emergent phenomenon becomes possible: Temporal Entanglement. T₂ Mnemonic Entanglement is the correlated evolution of Memory across two commitments — T₂ = −lnμ running in step. Phase-coherent pairs are the units of this entanglement: commitment pairs with R_D(i,j) small enough that their phase histories align. μ_sys = |{phase-coherent pairs}| / |𝒞|² is the network-level expression of the Visibility Stream’s health. MONITOR exists only when μ_sys ≥ 1/(2e) ≈ 0.184.</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Terminus: RV_total Coherence + RV_factor Alignment</w:t>
            </w:r>
          </w:p>
        </w:tc>
        <w:tc>
          <w:tcPr>
            <w:tcW w:w="4679" w:type="dxa"/>
            <w:tcBorders>
              <w:top w:val="single" w:sz="2" w:space="0" w:color="CCCCCC"/>
              <w:start w:val="single" w:sz="2" w:space="0" w:color="CCCCCC"/>
              <w:bottom w:val="single" w:sz="2" w:space="0" w:color="CCCCCC"/>
              <w:end w:val="single" w:sz="2" w:space="0" w:color="CCCCCC"/>
            </w:tcBorders>
            <w:shd w:fill="EAF4EE" w:val="clear"/>
            <w:tcMar>
              <w:start w:w="160" w:type="dxa"/>
              <w:end w:w="160" w:type="dxa"/>
            </w:tcMar>
          </w:tcPr>
          <w:p>
            <w:pPr>
              <w:pStyle w:val="Normal"/>
              <w:jc w:val="both"/>
              <w:rPr/>
            </w:pPr>
            <w:r>
              <w:rPr>
                <w:rFonts w:eastAsia="Arial" w:cs="Arial"/>
                <w:color w:val="000000"/>
                <w:sz w:val="20"/>
                <w:szCs w:val="20"/>
              </w:rPr>
              <w:t>RV_total: ln2·(1−m)·ΣΦ_ij — Global Alignment (1−m) weights pairwise relational closeness Φ_ij = 1 − R_D(i,j). When m = 0, full coherence stock is realized. When m = 1, zero coherence regardless of Φ_ij. RV_factor: (B−m)/(B+m) — the alignment factor gates at the Isolation Boundary B = 1−e⁻¹. Factor = 1 when m = 0; factor = 0 when m = B, at which point the Fabric ceases to exist. Both expressions are derived from global misalignment m = 1 − |Σ_j e^(iθ_j)|/N — the frame phases θ_j that the Framing Generator produces. V sustains the frame structure from which m is computed.</w:t>
            </w:r>
          </w:p>
        </w:tc>
      </w:tr>
    </w:tbl>
    <w:p>
      <w:pPr>
        <w:pStyle w:val="Normal"/>
        <w:spacing w:before="80" w:after="80"/>
        <w:rPr/>
      </w:pPr>
      <w:r>
        <w:rPr/>
      </w:r>
    </w:p>
    <w:p>
      <w:pPr>
        <w:pStyle w:val="Heading3"/>
        <w:spacing w:before="200" w:after="80"/>
        <w:rPr/>
      </w:pPr>
      <w:r>
        <w:rPr>
          <w:rFonts w:eastAsia="Arial" w:cs="Arial" w:ascii="Arial" w:hAnsi="Arial"/>
          <w:b/>
          <w:bCs/>
          <w:color w:val="1A5C3A"/>
          <w:sz w:val="22"/>
          <w:szCs w:val="22"/>
        </w:rPr>
        <w:t>What blocks this stream</w:t>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1A5C3A" w:val="clear"/>
          </w:tcPr>
          <w:p>
            <w:pPr>
              <w:pStyle w:val="Normal"/>
              <w:jc w:val="both"/>
              <w:rPr/>
            </w:pPr>
            <w:r>
              <w:rPr>
                <w:rFonts w:eastAsia="Arial" w:cs="Arial"/>
                <w:b/>
                <w:bCs/>
                <w:color w:val="FFFFFF"/>
                <w:sz w:val="19"/>
                <w:szCs w:val="19"/>
              </w:rPr>
              <w:t>Block</w:t>
            </w:r>
          </w:p>
        </w:tc>
        <w:tc>
          <w:tcPr>
            <w:tcW w:w="4679" w:type="dxa"/>
            <w:tcBorders>
              <w:top w:val="single" w:sz="2" w:space="0" w:color="CCCCCC"/>
              <w:start w:val="single" w:sz="2" w:space="0" w:color="CCCCCC"/>
              <w:bottom w:val="single" w:sz="2" w:space="0" w:color="CCCCCC"/>
              <w:end w:val="single" w:sz="2" w:space="0" w:color="CCCCCC"/>
            </w:tcBorders>
            <w:shd w:fill="1A5C3A" w:val="clear"/>
          </w:tcPr>
          <w:p>
            <w:pPr>
              <w:pStyle w:val="Normal"/>
              <w:jc w:val="both"/>
              <w:rPr/>
            </w:pPr>
            <w:r>
              <w:rPr>
                <w:rFonts w:eastAsia="Arial" w:cs="Arial"/>
                <w:b/>
                <w:bCs/>
                <w:color w:val="FFFFFF"/>
                <w:sz w:val="19"/>
                <w:szCs w:val="19"/>
              </w:rPr>
              <w:t>Consequence</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V → 0 (opacity)</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Frame content becomes inaccessible. ℐ cannot return +1 without phase alignment. Exchange Value collapses toward CV₀ – Comp as compensation cannot be structured around opaque terms. NEGOTIATE cycles fail because there is nothing visible to adjust.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μ_local → 0</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Memory capacity is lost. Any component of the five-factor product reaching zero drives μ_local to zero irreversibly without Archive restoration. The commitment loses the record of its own operational history.</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Archive compromised</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REPAIR cannot restore μ from corrupted records. Worse: corrupted Archives corrupt frame phase records, increasing global misalignment m. One corrupted Archive is a systemic hazard, not a local one.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μ_sys &lt; 1/(2e)</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MONITOR ceases to exist. All three control categories fail simultaneously. This is the most consequential threshold in the framework: below it, Governance, Generative, and Restorative Control are all disabled.</w:t>
            </w:r>
          </w:p>
        </w:tc>
      </w:tr>
    </w:tbl>
    <w:p>
      <w:pPr>
        <w:pStyle w:val="Normal"/>
        <w:spacing w:before="80" w:after="80"/>
        <w:rPr/>
      </w:pPr>
      <w:r>
        <w:rPr/>
      </w:r>
    </w:p>
    <w:p>
      <w:pPr>
        <w:pStyle w:val="Normal"/>
        <w:pBdr>
          <w:bottom w:val="single" w:sz="4" w:space="0" w:color="1A5C3A"/>
        </w:pBdr>
        <w:spacing w:before="200" w:after="200"/>
        <w:rPr/>
      </w:pPr>
      <w:r>
        <w:rPr/>
      </w:r>
    </w:p>
    <w:p>
      <w:pPr>
        <w:pStyle w:val="Normal"/>
        <w:spacing w:before="100" w:after="100"/>
        <w:rPr/>
      </w:pPr>
      <w:r>
        <w:rPr/>
      </w:r>
    </w:p>
    <w:tbl>
      <w:tblPr>
        <w:tblW w:w="9360" w:type="dxa"/>
        <w:jc w:val="start"/>
        <w:tblInd w:w="0" w:type="dxa"/>
        <w:tblLayout w:type="fixed"/>
        <w:tblCellMar>
          <w:top w:w="100" w:type="dxa"/>
          <w:start w:w="80" w:type="dxa"/>
          <w:bottom w:w="100" w:type="dxa"/>
          <w:end w:w="80" w:type="dxa"/>
        </w:tblCellMar>
      </w:tblPr>
      <w:tblGrid>
        <w:gridCol w:w="599"/>
        <w:gridCol w:w="8760"/>
      </w:tblGrid>
      <w:tr>
        <w:trPr/>
        <w:tc>
          <w:tcPr>
            <w:tcW w:w="599"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30"/>
                <w:szCs w:val="30"/>
              </w:rPr>
              <w:t>2</w:t>
            </w:r>
          </w:p>
        </w:tc>
        <w:tc>
          <w:tcPr>
            <w:tcW w:w="8760" w:type="dxa"/>
            <w:tcBorders>
              <w:top w:val="single" w:sz="2" w:space="0" w:color="7A1A1A"/>
              <w:start w:val="single" w:sz="2" w:space="0" w:color="7A1A1A"/>
              <w:bottom w:val="single" w:sz="2" w:space="0" w:color="7A1A1A"/>
              <w:end w:val="single" w:sz="2" w:space="0" w:color="7A1A1A"/>
            </w:tcBorders>
            <w:shd w:fill="9E2A2A" w:val="clear"/>
            <w:tcMar>
              <w:start w:w="180" w:type="dxa"/>
              <w:end w:w="180" w:type="dxa"/>
            </w:tcMar>
          </w:tcPr>
          <w:p>
            <w:pPr>
              <w:pStyle w:val="Normal"/>
              <w:spacing w:before="20" w:after="10"/>
              <w:rPr/>
            </w:pPr>
            <w:r>
              <w:rPr>
                <w:rFonts w:eastAsia="Arial" w:cs="Arial"/>
                <w:b/>
                <w:bCs/>
                <w:color w:val="FFFFFF"/>
                <w:sz w:val="28"/>
                <w:szCs w:val="28"/>
              </w:rPr>
              <w:t>The Assurance Stream</w:t>
            </w:r>
          </w:p>
          <w:p>
            <w:pPr>
              <w:pStyle w:val="Normal"/>
              <w:spacing w:before="0" w:after="20"/>
              <w:rPr/>
            </w:pPr>
            <w:r>
              <w:rPr>
                <w:rFonts w:eastAsia="Arial" w:cs="Arial"/>
                <w:i/>
                <w:iCs/>
                <w:color w:val="D0E4FF"/>
                <w:sz w:val="19"/>
                <w:szCs w:val="19"/>
              </w:rPr>
              <w:t>A → Dependency Depth → Defense → SECURE → Boundary → Fabric → Fabric Integrity</w:t>
            </w:r>
          </w:p>
        </w:tc>
      </w:tr>
    </w:tbl>
    <w:p>
      <w:pPr>
        <w:pStyle w:val="Normal"/>
        <w:spacing w:before="80" w:after="80"/>
        <w:rPr/>
      </w:pPr>
      <w:r>
        <w:rPr/>
      </w:r>
    </w:p>
    <w:p>
      <w:pPr>
        <w:pStyle w:val="Normal"/>
        <w:spacing w:before="80" w:after="80"/>
        <w:jc w:val="both"/>
        <w:rPr/>
      </w:pPr>
      <w:r>
        <w:rPr>
          <w:rFonts w:eastAsia="Arial" w:cs="Arial"/>
          <w:b w:val="false"/>
          <w:bCs w:val="false"/>
          <w:i w:val="false"/>
          <w:iCs w:val="false"/>
          <w:color w:val="000000"/>
          <w:sz w:val="22"/>
          <w:szCs w:val="22"/>
        </w:rPr>
        <w:t>Assurance (A) measures the structural integrity of the commitment — the degree to which its pledge can be relied upon to hold. A ∈ [0,1]. A = 1 means the obligation is fully reliable. A = 0 means the commitment has no structural backing, its pledge cannot be trusted to hold under any circumstance.</w:t>
      </w:r>
    </w:p>
    <w:p>
      <w:pPr>
        <w:pStyle w:val="Normal"/>
        <w:spacing w:before="80" w:after="80"/>
        <w:jc w:val="both"/>
        <w:rPr/>
      </w:pPr>
      <w:r>
        <w:rPr>
          <w:rFonts w:eastAsia="Arial" w:cs="Arial"/>
          <w:b w:val="false"/>
          <w:bCs w:val="false"/>
          <w:i w:val="false"/>
          <w:iCs w:val="false"/>
          <w:color w:val="000000"/>
          <w:sz w:val="22"/>
          <w:szCs w:val="22"/>
        </w:rPr>
        <w:t>A enters the framework differently from V and T. It does not amplify value linearly. It operates through the Constraint Generator as an exponential decay modulator of dependency depth: it determines how quickly value decays through derivation chains. The deeper a commitment sits in a derivation tree, the more its value depends on the Assurance of the commitments above it. Low A anywhere in the chain propagates rapidly to all Derivatives below. This is why the Assurance Stream terminates in Fabric Integrity in RV_factor and in the Generative Potential and Memory Penalty terms in RV_total — it is the stream that maintains the structural substrate on which all generative activity depends.</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Source Assurance (A)</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A ∈ [0,1] is the anchor parameter governing structural reliability. It enters the commitment tensor as D_local = A: the per-commitment Defense coordinate is exactly the Assurance parameter. INC on A simultaneously increments D_local (double effect). L-resistance R_L = ρ·|ΔCV| where ρ = 1−V·A applies to upward INC — high Assurance makes further increases progressively more costly. Assurance cannot be cheaply accumulated; it must be built.</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Layer 1 Intermediate: Dependency Depth (d)</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Value decays exponentially with derivation depth: e^(−kd) where k = ln 2. This means every layer of derivation costs 50% of value. A Derivative Commitment inherits D_der ≤ D_root: its Defense is bounded by the weaker of its two sources. Assurance determines how much of the base commitment’s structural integrity survives the derivation. A system of deep derivation chains with low A at the root will collapse in value before reaching operational commitments. This is the structural meaning of the weakest-link principle.</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Layer 2 Fabric Coordinate: Defense (D)</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D_local(C_j) = A_j. Defense is the Fabric’s record of structural coherence: how much binding capacity the commitment has against external pressure, frame disagreement, and attempted COERCE operations. Network-level D is aggregated from per-commitment values through network gradients. When D collapses, the Fabric cannot maintain the geometrical structure required for Interaction Modes closer than Isolation. Coupling and Deep Interference require sustained D.</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Layer 3 Governance: SECURE</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SECURE is the MONITOR execution primitive responsible for D. At every TEST-MONITOR cycle tick, SECURE reinforces D against the continuous dissipative pressure of the base operations: LINK costs D with only partial recovery on dissolution; every unauthorized encounter depletes D. SECURE’s function is active maintenance of the structural substrate. Without SECURE, D drifts toward zero through the accumulation of micro-depletions that individually seem negligible.</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Layer 4 Infrastructure: Boundary</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The Boundary’s pledge is to reinforce D in a designated region. It operates as a persistent shield and sacrificial buffer: it absorbs COERCE pressure, attenuates sustained attacks, and maintains the D required for the commitments it protects to remain in their intended Interaction Mode. Multiple layers of Boundary are structurally superior to a single perimeter: outer layers absorb shocks; inner layers protect critical sub-networks even when outer ones are depleted. The holographic bound applies: effective Boundary capacity depends on boundary area, not on Boundary depth.</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Layer 5 Emergent Structure: The Fabric Itself</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When D is sustained across the network, the Fabric maintains the geometric structure required for all operations except Isolation. The Fabric is not generative — it is the substrate. Its existence is the Assurance Stream’s emergent contribution: a stable relational geometry in which the other three streams can operate. This is why Stream 2 is the negative stream. The Fabric does not create value; it prevents value from collapsing. It pays the entropy cost that the other three streams incur through their operations.</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Terminus: RV_total Generative Potential + Memory Penalty + RV_factor Fabric Integrity</w:t>
            </w:r>
          </w:p>
        </w:tc>
        <w:tc>
          <w:tcPr>
            <w:tcW w:w="4679" w:type="dxa"/>
            <w:tcBorders>
              <w:top w:val="single" w:sz="2" w:space="0" w:color="CCCCCC"/>
              <w:start w:val="single" w:sz="2" w:space="0" w:color="CCCCCC"/>
              <w:bottom w:val="single" w:sz="2" w:space="0" w:color="CCCCCC"/>
              <w:end w:val="single" w:sz="2" w:space="0" w:color="CCCCCC"/>
            </w:tcBorders>
            <w:shd w:fill="FAF0F0" w:val="clear"/>
            <w:tcMar>
              <w:start w:w="160" w:type="dxa"/>
              <w:end w:w="160" w:type="dxa"/>
            </w:tcMar>
          </w:tcPr>
          <w:p>
            <w:pPr>
              <w:pStyle w:val="Normal"/>
              <w:jc w:val="both"/>
              <w:rPr/>
            </w:pPr>
            <w:r>
              <w:rPr>
                <w:rFonts w:eastAsia="Arial" w:cs="Arial"/>
                <w:color w:val="000000"/>
                <w:sz w:val="20"/>
                <w:szCs w:val="20"/>
              </w:rPr>
              <w:t>RV_factor: D·μ/(1+λ) — Fabric Integrity. D is the Assurance Stream’s primary coordinate. The factor requires D and μ both nonzero; λ in the denominator means high excitation degrades Fabric Integrity directly. RV_total: ln2·Σ_jΨ_j (Generative Potential) and −ln2·Σ_j(1−μ_j)Ψ_j (Memory Penalty), since Ψ_j = G_j·μ_j·D_j/(1+λ_j) carries D as a direct factor. The Memory Penalty is the only negative term in RV_total — the entropy cost of maintaining a relational geometry under operations, now expressed through μ degradation on Ψ rather than as a standalone term separate from the other invariant.</w:t>
            </w:r>
          </w:p>
        </w:tc>
      </w:tr>
    </w:tbl>
    <w:p>
      <w:pPr>
        <w:pStyle w:val="Normal"/>
        <w:spacing w:before="80" w:after="80"/>
        <w:rPr/>
      </w:pPr>
      <w:r>
        <w:rPr/>
      </w:r>
    </w:p>
    <w:p>
      <w:pPr>
        <w:pStyle w:val="Heading3"/>
        <w:spacing w:before="200" w:after="80"/>
        <w:rPr/>
      </w:pPr>
      <w:r>
        <w:rPr>
          <w:rFonts w:eastAsia="Arial" w:cs="Arial" w:ascii="Arial" w:hAnsi="Arial"/>
          <w:b/>
          <w:bCs/>
          <w:color w:val="7A1A1A"/>
          <w:sz w:val="22"/>
          <w:szCs w:val="22"/>
        </w:rPr>
        <w:t>What blocks this stream</w:t>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7A1A1A" w:val="clear"/>
          </w:tcPr>
          <w:p>
            <w:pPr>
              <w:pStyle w:val="Normal"/>
              <w:jc w:val="both"/>
              <w:rPr/>
            </w:pPr>
            <w:r>
              <w:rPr>
                <w:rFonts w:eastAsia="Arial" w:cs="Arial"/>
                <w:b/>
                <w:bCs/>
                <w:color w:val="FFFFFF"/>
                <w:sz w:val="19"/>
                <w:szCs w:val="19"/>
              </w:rPr>
              <w:t>Block</w:t>
            </w:r>
          </w:p>
        </w:tc>
        <w:tc>
          <w:tcPr>
            <w:tcW w:w="4679" w:type="dxa"/>
            <w:tcBorders>
              <w:top w:val="single" w:sz="2" w:space="0" w:color="CCCCCC"/>
              <w:start w:val="single" w:sz="2" w:space="0" w:color="CCCCCC"/>
              <w:bottom w:val="single" w:sz="2" w:space="0" w:color="CCCCCC"/>
              <w:end w:val="single" w:sz="2" w:space="0" w:color="CCCCCC"/>
            </w:tcBorders>
            <w:shd w:fill="7A1A1A" w:val="clear"/>
          </w:tcPr>
          <w:p>
            <w:pPr>
              <w:pStyle w:val="Normal"/>
              <w:jc w:val="both"/>
              <w:rPr/>
            </w:pPr>
            <w:r>
              <w:rPr>
                <w:rFonts w:eastAsia="Arial" w:cs="Arial"/>
                <w:b/>
                <w:bCs/>
                <w:color w:val="FFFFFF"/>
                <w:sz w:val="19"/>
                <w:szCs w:val="19"/>
              </w:rPr>
              <w:t>Consequence</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A → 0 (structural failure)</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D_local = A → 0. The commitment loses all structural coherence. LINK costs cannot be recovered; Derivative Commitments cascade to ANL through the cascading termination rule. L-resistance ρ = 1−V·A → 1: maximum resistance to further increases means no INC on V or A can raise reliability without enormous cost.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Deep derivation chains with low A at root</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e^(−kd) applies per layer. A root commitment with A = 0.5 at depth d = 3 contributes e^(−2.08) ≈ 0.125 of its base value to Derivatives. The weakest Assurance in any chain caps the Assurance of all Derivatives below it.</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Boundary depleted</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D in the protected region falls. The commitments the Boundary protected enter Isolation as R_D rises. Channels dissolve. The network fragments. Recovery requires HEAL dispatching IMPOSE instruments (SANCTION, RESTRUCTURE, DISSOLVE) which are last resort.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Fabric Integrity collapses</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When μ_j and D_j are low across the network, D·μ/(1+λ) collapses. RV_factor collapses with it regardless of generative momentum or alignment. RV_total continues to hold stock but loses vitality entirely. There is no separate negative term accumulating — the flow collapse is total and immediate through the multiplicative structure of RV_factor.</w:t>
            </w:r>
          </w:p>
        </w:tc>
      </w:tr>
    </w:tbl>
    <w:p>
      <w:pPr>
        <w:pStyle w:val="Normal"/>
        <w:spacing w:before="80" w:after="80"/>
        <w:rPr/>
      </w:pPr>
      <w:r>
        <w:rPr/>
      </w:r>
    </w:p>
    <w:p>
      <w:pPr>
        <w:pStyle w:val="Normal"/>
        <w:pBdr>
          <w:bottom w:val="single" w:sz="4" w:space="0" w:color="7A1A1A"/>
        </w:pBdr>
        <w:spacing w:before="200" w:after="200"/>
        <w:rPr/>
      </w:pPr>
      <w:r>
        <w:rPr/>
      </w:r>
    </w:p>
    <w:p>
      <w:pPr>
        <w:pStyle w:val="Normal"/>
        <w:spacing w:before="100" w:after="100"/>
        <w:rPr/>
      </w:pPr>
      <w:r>
        <w:rPr/>
      </w:r>
    </w:p>
    <w:tbl>
      <w:tblPr>
        <w:tblW w:w="9360" w:type="dxa"/>
        <w:jc w:val="start"/>
        <w:tblInd w:w="0" w:type="dxa"/>
        <w:tblLayout w:type="fixed"/>
        <w:tblCellMar>
          <w:top w:w="100" w:type="dxa"/>
          <w:start w:w="80" w:type="dxa"/>
          <w:bottom w:w="100" w:type="dxa"/>
          <w:end w:w="80" w:type="dxa"/>
        </w:tblCellMar>
      </w:tblPr>
      <w:tblGrid>
        <w:gridCol w:w="599"/>
        <w:gridCol w:w="8760"/>
      </w:tblGrid>
      <w:tr>
        <w:trPr/>
        <w:tc>
          <w:tcPr>
            <w:tcW w:w="599"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30"/>
                <w:szCs w:val="30"/>
              </w:rPr>
              <w:t>3</w:t>
            </w:r>
          </w:p>
        </w:tc>
        <w:tc>
          <w:tcPr>
            <w:tcW w:w="8760" w:type="dxa"/>
            <w:tcBorders>
              <w:top w:val="single" w:sz="2" w:space="0" w:color="5C3A00"/>
              <w:start w:val="single" w:sz="2" w:space="0" w:color="5C3A00"/>
              <w:bottom w:val="single" w:sz="2" w:space="0" w:color="5C3A00"/>
              <w:end w:val="single" w:sz="2" w:space="0" w:color="5C3A00"/>
            </w:tcBorders>
            <w:shd w:fill="7A5200" w:val="clear"/>
            <w:tcMar>
              <w:start w:w="180" w:type="dxa"/>
              <w:end w:w="180" w:type="dxa"/>
            </w:tcMar>
          </w:tcPr>
          <w:p>
            <w:pPr>
              <w:pStyle w:val="Normal"/>
              <w:spacing w:before="20" w:after="10"/>
              <w:rPr/>
            </w:pPr>
            <w:r>
              <w:rPr>
                <w:rFonts w:eastAsia="Arial" w:cs="Arial"/>
                <w:b/>
                <w:bCs/>
                <w:color w:val="FFFFFF"/>
                <w:sz w:val="28"/>
                <w:szCs w:val="28"/>
              </w:rPr>
              <w:t>The Transferability Stream</w:t>
            </w:r>
          </w:p>
          <w:p>
            <w:pPr>
              <w:pStyle w:val="Normal"/>
              <w:spacing w:before="0" w:after="20"/>
              <w:rPr/>
            </w:pPr>
            <w:r>
              <w:rPr>
                <w:rFonts w:eastAsia="Arial" w:cs="Arial"/>
                <w:i/>
                <w:iCs/>
                <w:color w:val="D0E4FF"/>
                <w:sz w:val="19"/>
                <w:szCs w:val="19"/>
              </w:rPr>
              <w:t>T → Base Value → Pulse → MODULATE → Reserve → Channels → RV_total: Σ EV_j   RV_factor: (1+ΔG)/(1+ΔD)</w:t>
            </w:r>
          </w:p>
        </w:tc>
      </w:tr>
    </w:tbl>
    <w:p>
      <w:pPr>
        <w:pStyle w:val="Normal"/>
        <w:spacing w:before="80" w:after="80"/>
        <w:rPr/>
      </w:pPr>
      <w:r>
        <w:rPr/>
      </w:r>
    </w:p>
    <w:p>
      <w:pPr>
        <w:pStyle w:val="Normal"/>
        <w:spacing w:before="80" w:after="80"/>
        <w:jc w:val="both"/>
        <w:rPr/>
      </w:pPr>
      <w:r>
        <w:rPr>
          <w:rFonts w:eastAsia="Arial" w:cs="Arial"/>
          <w:b w:val="false"/>
          <w:bCs w:val="false"/>
          <w:i w:val="false"/>
          <w:iCs w:val="false"/>
          <w:color w:val="000000"/>
          <w:sz w:val="22"/>
          <w:szCs w:val="22"/>
        </w:rPr>
        <w:t>Transferability (T) measures the mobility of the commitment — the degree to which its obligations and benefits can flow between parties or be replicated without losing structural integrity. T ∈ [0,1]. T = 1 means the commitment is fully transferable: its value can be transmitted at zero friction. T = 0 means the commitment is entirely non-transferable: its value is bound to the original L and H and cannot be passed on.</w:t>
      </w:r>
    </w:p>
    <w:p>
      <w:pPr>
        <w:pStyle w:val="Normal"/>
        <w:spacing w:before="80" w:after="80"/>
        <w:jc w:val="both"/>
        <w:rPr/>
      </w:pPr>
      <w:r>
        <w:rPr>
          <w:rFonts w:eastAsia="Arial" w:cs="Arial"/>
          <w:b w:val="false"/>
          <w:bCs w:val="false"/>
          <w:i w:val="false"/>
          <w:iCs w:val="false"/>
          <w:color w:val="000000"/>
          <w:sz w:val="22"/>
          <w:szCs w:val="22"/>
        </w:rPr>
        <w:t>T amplifies CV_realized linearly through the factor (1+T): a fully transferable commitment doubles its contribution to realized value relative to an identical non-transferable one. But T also directly sets λ_local = T — high Transferability is high dynamical excitation. The Transferability Stream is therefore the live current of the commitment network: the source of flow, mobility, and the capacity to act. It is also the source of volatility. The same property that enables value circulation enables instability.</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Source Transferability (T)</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T ∈ [0,1] is the anchor parameter governing commitment mobility. It enters CV_realized as the (1+T) factor and simultaneously sets λ_local = T (double effect via INC). Derivative Commitments are constitutively more volatile than their sources: λ_der &gt;&gt; max(λ_root, λ_sponsor). This is characteristic, not a ceiling — Derivatives are inherently higher-energy structures. The Channel realized throughput κ_ij = σ_ij·T_i·T_j: both parties’ Transferability determines how much value can actually flow through any Channel between them.</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Layer 1 Intermediate: Base Value (CV₀)</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CV₀ is established by bilateral agreement between L and H and cannot be modified by INC. It is the ontological anchor of the commitment — the quantity that survives all operations, all frame rotations, all parameter changes. T amplifies CV₀ through (1+T) in realized value. The higher T, the more CV₀ can be expressed in practice. A commitment with high CV₀ and low T is structurally rich but operationally inert. The Transferability Stream is the mechanism by which base value becomes exchangeable value.</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Layer 2 Fabric Coordinate: Pulse (λ)</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λ_local(C_j) = T_j. Pulse is the dynamical excitation of the commitment — its energy state. λ_sys = (1/|𝒞|)Σ_j T_j·A_j is the network-level average, weighted by Assurance. High λ_sys means the network is in high operational activity: many operations, high throughput, rapid TEST-MONITOR cycling. Low λ_sys means the network is in a quiescent state. λ appears in the denominator of Generative Potential Ψ = G·μ·D/(1+λ): high Pulse reduces generative capacity. The Generative Temporal Anti-Correlation theorem follows directly: T₁ and T₅ are anti-correlated in the temporal metric.</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Layer 3 Governance: MODULATE</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MODULATE is the MONITOR execution primitive responsible for λ. At every TEST-MONITOR cycle tick, MODULATE regulates λ against excitation drift: draws down λ when excitation exceeds the operational range and releases it when λ is below the range. MODULATE draws on local Reserves before requesting transfer from Reserves at larger scales. This prevents λ spikes from propagating to global infrastructure before local buffering has been exhausted. MODULATE is the only Governance primitive whose emergency action (drawing on Reserve without consent) is pre-authorized by the Reserve’s own pledge.</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Layer 4 Infrastructure: Reserve</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The Reserve’s pledge is to absorb and release λ excitation for the network it serves. It is the buffer between local λ fluctuations and systemic instability. When any operational event produces excess λ, the local Reserve absorbs it. When λ falls below operational range, the Reserve releases it to sustain activity. Reserves are structurally local: each sub-network maintains its own Reserve. One global Reserve is geometrically inferior because it cannot respond at the speed of local λ events. Reserve capacity is pre-authorized via the MODULATE governance pathway — no TEST cycle is needed to draw on it in an emergency.</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Layer 5 Emergent Structure: Channels</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When λ is stable and T is sustained across the network, the infrastructure for EV flow is in place: Channels. A Channel σ_ij ∈ [0,1] is established by LINK at real cost (ΔD_local = −(ln 2)·Δσ/2; Δλ_local = +(ln 2)·Δσ/2 per party) and carries realized throughput κ_ij = σ_ij·T_i·T_j. Without Channels, no EV flows: no OFFER is possible, no Infrastructure Commitment can be accessed, no compensation reaches its intended recipient. Channels are the transport layer of the Transferability Stream — the physical expression of Transferability at the network level.</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Terminus: RV_total Exchange Value + RV_factor Generative Momentum</w:t>
            </w:r>
          </w:p>
        </w:tc>
        <w:tc>
          <w:tcPr>
            <w:tcW w:w="4679" w:type="dxa"/>
            <w:tcBorders>
              <w:top w:val="single" w:sz="2" w:space="0" w:color="CCCCCC"/>
              <w:start w:val="single" w:sz="2" w:space="0" w:color="CCCCCC"/>
              <w:bottom w:val="single" w:sz="2" w:space="0" w:color="CCCCCC"/>
              <w:end w:val="single" w:sz="2" w:space="0" w:color="CCCCCC"/>
            </w:tcBorders>
            <w:shd w:fill="FBF6EA" w:val="clear"/>
            <w:tcMar>
              <w:start w:w="160" w:type="dxa"/>
              <w:end w:w="160" w:type="dxa"/>
            </w:tcMar>
          </w:tcPr>
          <w:p>
            <w:pPr>
              <w:pStyle w:val="Normal"/>
              <w:jc w:val="both"/>
              <w:rPr/>
            </w:pPr>
            <w:r>
              <w:rPr>
                <w:rFonts w:eastAsia="Arial" w:cs="Arial"/>
                <w:color w:val="000000"/>
                <w:sz w:val="20"/>
                <w:szCs w:val="20"/>
              </w:rPr>
              <w:t>RV_total: Σ_j EV_j = Σ_j(CV_j + Comp_j) — Exchange Value is the total value available to the network. T drives EV through the (1+T) factor in CV_realized. RV_factor: (1+ΔG)/(1+ΔD) — Generative Momentum. Exchange Value produced through Channels contributes to GO and therefore to ΔG. The Transferability Stream is the primary driver of Generation Output: T sustains the flow of Exchange Value whose proportional growth relative to Derivation Output determines the first factor of RV_factor. λ also appears in the denominator of Fabric Integrity D·μ/(1+λ): high Pulse simultaneously drives Exchange Value and erodes Fabric Integrity — the structural cost of Transferability is present in both invariants.</w:t>
            </w:r>
          </w:p>
        </w:tc>
      </w:tr>
    </w:tbl>
    <w:p>
      <w:pPr>
        <w:pStyle w:val="Normal"/>
        <w:spacing w:before="80" w:after="80"/>
        <w:rPr/>
      </w:pPr>
      <w:r>
        <w:rPr/>
      </w:r>
    </w:p>
    <w:p>
      <w:pPr>
        <w:pStyle w:val="Heading3"/>
        <w:spacing w:before="200" w:after="80"/>
        <w:rPr/>
      </w:pPr>
      <w:r>
        <w:rPr>
          <w:rFonts w:eastAsia="Arial" w:cs="Arial" w:ascii="Arial" w:hAnsi="Arial"/>
          <w:b/>
          <w:bCs/>
          <w:color w:val="5C3A00"/>
          <w:sz w:val="22"/>
          <w:szCs w:val="22"/>
        </w:rPr>
        <w:t>What blocks this stream</w:t>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5C3A00" w:val="clear"/>
          </w:tcPr>
          <w:p>
            <w:pPr>
              <w:pStyle w:val="Normal"/>
              <w:jc w:val="both"/>
              <w:rPr/>
            </w:pPr>
            <w:r>
              <w:rPr>
                <w:rFonts w:eastAsia="Arial" w:cs="Arial"/>
                <w:b/>
                <w:bCs/>
                <w:color w:val="FFFFFF"/>
                <w:sz w:val="19"/>
                <w:szCs w:val="19"/>
              </w:rPr>
              <w:t>Block</w:t>
            </w:r>
          </w:p>
        </w:tc>
        <w:tc>
          <w:tcPr>
            <w:tcW w:w="4679" w:type="dxa"/>
            <w:tcBorders>
              <w:top w:val="single" w:sz="2" w:space="0" w:color="CCCCCC"/>
              <w:start w:val="single" w:sz="2" w:space="0" w:color="CCCCCC"/>
              <w:bottom w:val="single" w:sz="2" w:space="0" w:color="CCCCCC"/>
              <w:end w:val="single" w:sz="2" w:space="0" w:color="CCCCCC"/>
            </w:tcBorders>
            <w:shd w:fill="5C3A00" w:val="clear"/>
          </w:tcPr>
          <w:p>
            <w:pPr>
              <w:pStyle w:val="Normal"/>
              <w:jc w:val="both"/>
              <w:rPr/>
            </w:pPr>
            <w:r>
              <w:rPr>
                <w:rFonts w:eastAsia="Arial" w:cs="Arial"/>
                <w:b/>
                <w:bCs/>
                <w:color w:val="FFFFFF"/>
                <w:sz w:val="19"/>
                <w:szCs w:val="19"/>
              </w:rPr>
              <w:t>Consequence</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T → 0 (non-transferability)</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λ_local = T → 0. The commitment enters a quiescent state. Channel realized throughput κ_ij = σ_ij·T_i·T_j → 0 regardless of Channel capacity. Value cannot flow. The (1+T) factor reduces to 1, halving the effective value ceiling relative to a fully transferable commitment.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Unconstrained high T</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λ_sys becomes high. Generative Potential Ψ = G·μ·D/(1+λ) falls. The network is operationally active but generatively depleted. High-λ networks cycle rapidly but produce diminishing new structure. The Reserve must work continuously to prevent λ overshoot.</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Reserve depleted</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MODULATE cannot buffer λ spikes. Excitation propagates to adjacent commitments through Channels. λ_sys rises above the operational range. TEST-MONITOR cycles accelerate beyond sustainable rates. MONITOR detects cycle gain |G_γ| approaching 1 and signals HEAL.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Channel dissolution</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No Channel between C_i and C_j means no EV flow, no OFFER pathway, and no Infrastructure access. Isolated commitments cannot receive or provide assistance regardless of their own EV. The network fragments into disconnected components. Holographic capacity: Σσ_ij ≤ κ_D·D_sys·|χ|² sets the absolute ceiling.</w:t>
            </w:r>
          </w:p>
        </w:tc>
      </w:tr>
    </w:tbl>
    <w:p>
      <w:pPr>
        <w:pStyle w:val="Normal"/>
        <w:spacing w:before="80" w:after="80"/>
        <w:rPr/>
      </w:pPr>
      <w:r>
        <w:rPr/>
      </w:r>
    </w:p>
    <w:p>
      <w:pPr>
        <w:pStyle w:val="Normal"/>
        <w:pBdr>
          <w:bottom w:val="single" w:sz="4" w:space="0" w:color="5C3A00"/>
        </w:pBdr>
        <w:spacing w:before="200" w:after="200"/>
        <w:rPr/>
      </w:pPr>
      <w:r>
        <w:rPr/>
      </w:r>
    </w:p>
    <w:p>
      <w:pPr>
        <w:pStyle w:val="Normal"/>
        <w:spacing w:before="100" w:after="100"/>
        <w:rPr/>
      </w:pPr>
      <w:r>
        <w:rPr/>
      </w:r>
    </w:p>
    <w:tbl>
      <w:tblPr>
        <w:tblW w:w="9360" w:type="dxa"/>
        <w:jc w:val="start"/>
        <w:tblInd w:w="0" w:type="dxa"/>
        <w:tblLayout w:type="fixed"/>
        <w:tblCellMar>
          <w:top w:w="100" w:type="dxa"/>
          <w:start w:w="80" w:type="dxa"/>
          <w:bottom w:w="100" w:type="dxa"/>
          <w:end w:w="80" w:type="dxa"/>
        </w:tblCellMar>
      </w:tblPr>
      <w:tblGrid>
        <w:gridCol w:w="599"/>
        <w:gridCol w:w="8760"/>
      </w:tblGrid>
      <w:tr>
        <w:trPr/>
        <w:tc>
          <w:tcPr>
            <w:tcW w:w="599"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30"/>
                <w:szCs w:val="30"/>
              </w:rPr>
              <w:t>4</w:t>
            </w:r>
          </w:p>
        </w:tc>
        <w:tc>
          <w:tcPr>
            <w:tcW w:w="8760" w:type="dxa"/>
            <w:tcBorders>
              <w:top w:val="single" w:sz="2" w:space="0" w:color="1F3864"/>
              <w:start w:val="single" w:sz="2" w:space="0" w:color="1F3864"/>
              <w:bottom w:val="single" w:sz="2" w:space="0" w:color="1F3864"/>
              <w:end w:val="single" w:sz="2" w:space="0" w:color="1F3864"/>
            </w:tcBorders>
            <w:shd w:fill="2E5090" w:val="clear"/>
            <w:tcMar>
              <w:start w:w="180" w:type="dxa"/>
              <w:end w:w="180" w:type="dxa"/>
            </w:tcMar>
          </w:tcPr>
          <w:p>
            <w:pPr>
              <w:pStyle w:val="Normal"/>
              <w:spacing w:before="20" w:after="10"/>
              <w:rPr/>
            </w:pPr>
            <w:r>
              <w:rPr>
                <w:rFonts w:eastAsia="Arial" w:cs="Arial"/>
                <w:b/>
                <w:bCs/>
                <w:color w:val="FFFFFF"/>
                <w:sz w:val="28"/>
                <w:szCs w:val="28"/>
              </w:rPr>
              <w:t>The Integrative Stream</w:t>
            </w:r>
          </w:p>
          <w:p>
            <w:pPr>
              <w:pStyle w:val="Normal"/>
              <w:spacing w:before="0" w:after="20"/>
              <w:rPr/>
            </w:pPr>
            <w:r>
              <w:rPr>
                <w:rFonts w:eastAsia="Arial" w:cs="Arial"/>
                <w:i/>
                <w:iCs/>
                <w:color w:val="D0E4FF"/>
                <w:sz w:val="19"/>
                <w:szCs w:val="19"/>
              </w:rPr>
              <w:t>CV_realized → Generative Potential → D+μ+λ → HEAL → Sanctuary + Firewall → Generativity → Generative Potential Term</w:t>
            </w:r>
          </w:p>
        </w:tc>
      </w:tr>
    </w:tbl>
    <w:p>
      <w:pPr>
        <w:pStyle w:val="Normal"/>
        <w:spacing w:before="80" w:after="80"/>
        <w:rPr/>
      </w:pPr>
      <w:r>
        <w:rPr/>
      </w:r>
    </w:p>
    <w:p>
      <w:pPr>
        <w:pStyle w:val="Normal"/>
        <w:spacing w:before="80" w:after="80"/>
        <w:jc w:val="both"/>
        <w:rPr/>
      </w:pPr>
      <w:r>
        <w:rPr>
          <w:rFonts w:eastAsia="Arial" w:cs="Arial"/>
          <w:b w:val="false"/>
          <w:bCs w:val="false"/>
          <w:i w:val="false"/>
          <w:iCs w:val="false"/>
          <w:color w:val="000000"/>
          <w:sz w:val="22"/>
          <w:szCs w:val="22"/>
        </w:rPr>
        <w:t>The first three streams each carry one anchor parameter and terminate in one term. Stream 4 carries CV_realized — the product of all three: CV_realized = CV₀·V·A·(1+T)·max(0,ℐ)·e^(−kd). CV_realized integrates the outputs of Streams 1, 2, and 3 into a single quantity.</w:t>
      </w:r>
    </w:p>
    <w:p>
      <w:pPr>
        <w:pStyle w:val="Normal"/>
        <w:spacing w:before="80" w:after="80"/>
        <w:jc w:val="both"/>
        <w:rPr/>
      </w:pPr>
      <w:r>
        <w:rPr>
          <w:rFonts w:eastAsia="Arial" w:cs="Arial"/>
          <w:b w:val="false"/>
          <w:bCs w:val="false"/>
          <w:i w:val="false"/>
          <w:iCs w:val="false"/>
          <w:color w:val="000000"/>
          <w:sz w:val="22"/>
          <w:szCs w:val="22"/>
        </w:rPr>
        <w:t>Its terminus is RV_factor as a whole: [(1+ΔG)/(1+ΔD)] · [(B−m)/(B+m)] · [D·μ/(1+λ)]. Stream 4 is the generative stream. CV_realized is what the network produces when all three anchor streams are functioning — visible, structurally stable, transferable commitments executing operations. Each factor of RV_factor receives a contribution from one of the three anchor streams, and Stream 4 generates the value that flows through all three. Without Stream 4, the other streams have nothing to sustain.</w:t>
      </w:r>
    </w:p>
    <w:p>
      <w:pPr>
        <w:pStyle w:val="Normal"/>
        <w:spacing w:before="60" w:after="6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Source CV_realized</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CV_realized = CV₀ · V · A · (1+T) · max(0, ℐ) · e^(−kd). This is the value actually realized through successful operation: V (Frame coherence), A (structural integrity), (1+T) (mobility amplification), max(0,ℐ) (ternary gate), e^(−kd) (dependency depth decay). CV_realized accumulates through EXECUTE events over the commitment’s operational history. It is the integrated output of the commitment’s functioning.</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Layer 1 Intermediate: Generative Potential (Ψ)</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Ψ_j = G_j · μ_j · D_j / (1 + λ_j). Generative Potential is the capacity of commitment C_j to create new structure: new commitments, new Channels, new Derivative Commitments. It depends on all three Fabric coordinates simultaneously. μ_j (Memory fidelity) provides the content record from which new pledges can be constructed. D_j (Defense) provides the structural stability from which new derivation is possible. (1+λ_j) in the denominator means high operational activity reduces generative capacity: you cannot build when you are in constant operation. G_j is the commitment’s realized value scalar.</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Layer 2 Fabric Coordinate: D + μ + λ (all three)</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Stream 4 is the only stream that requires all three Fabric coordinates simultaneously. CV_realized = CV₀·V·A·(1+T)·max(0,ℐ)·e^(−kd) integrates V (frame coherence), A (structural stability), and T (transferability) into a single quantity. RV_factor — Stream 4’s terminus — requires all three coordinates: (1+ΔG)/(1+ΔD) depends on T-driven Exchange Value; (B−m)/(B+m) depends on V-sustained frame phases; D·μ/(1+λ) depends on A-sustained Defense and T-sustained Pulse. Stream 4 therefore depends on the health of each of the other three streams as a structural precondition. The framework is: Streams 1–3 each sustain one factor of RV_factor; Stream 4 generates the value whose flow constitutes RV_factor.</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Layer 3 Governance: HEAL (all three primitives)</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Stream 4 is coordinated by HEAL, the Restorative Control primitive — not by one of the Governance primitives (SCRIBE, SECURE, MODULATE) that each serve one Fabric coordinate. HEAL coordinates the restoration of the full Fabric state when generative capacity is threatened. It dispatches HANDLE (relational adjudication), REPAIR (coordinate restoration from Archive), and IMPOSE (network intervention) in that order of resort. HEAL receives signals from TEST (ℐ = −1) and MONITOR (threshold breach) and resolves them without the conflict of interest that would arise if a single primitive both evaluated and adjudicated.</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Layer 4 Infrastructure: Sanctuary + Firewall</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The Sanctuary’s pledge is to protect a nascent commitment during its developmental period, before it is exposed to the full operational environment. The Firewall is constitutively entangled with every Sanctuary: it maintains the perimeter, evaluates all incoming commitments via TEST, and executes enforcement action on unauthorized crossings. Neither functions without the other. The Sanctuary + Firewall pair is the infrastructure that makes the fourth stream viable: without it, nascent Generative Potential Ψ is destroyed before it can contribute to RV_total. A Sanctuary is not a Boundary — a Boundary protects an operational commitment; a Sanctuary protects one not yet operational.</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Layer 5 Emergent Structure: Generativity (G_vt)</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G_vt = G_S · D_sys · μ_sys / (1 + λ_sys). Network Generativity is the rate at which the network produces new structure. It is the emergent measure of the Integrative Stream’s health. G_vt &gt; 1 means GO grows faster than DO — the ratio (1+ΔG)/(1+ΔD) exceeds 1 and generative momentum is positive. G_vt &lt; 1 means the network is producing derivative instability faster than generative output — the ratio falls below 1. G_vt = 0 is T₅ cessation — the generative time dimension stops. T₅ Generative Entanglement is the coordinated G_vt of two commitments in a shared gestational sub-Fabric: the mother-foetus relationship, the Sanctuary developmental pair, ecosystem co-evolution.</w:t>
            </w:r>
          </w:p>
        </w:tc>
      </w:tr>
      <w:tr>
        <w:trPr/>
        <w:tc>
          <w:tcPr>
            <w:tcW w:w="4680" w:type="dxa"/>
            <w:tcBorders/>
            <w:shd w:fill="FFFFFF" w:val="clear"/>
            <w:tcMar>
              <w:top w:w="0" w:type="dxa"/>
              <w:start w:w="0" w:type="dxa"/>
              <w:bottom w:w="0" w:type="dxa"/>
              <w:end w:w="0" w:type="dxa"/>
            </w:tcMar>
          </w:tcPr>
          <w:p>
            <w:pPr>
              <w:pStyle w:val="Normal"/>
              <w:spacing w:before="10" w:after="10"/>
              <w:jc w:val="center"/>
              <w:rPr/>
            </w:pPr>
            <w:r>
              <w:rPr>
                <w:rFonts w:eastAsia="Arial" w:cs="Arial"/>
                <w:color w:val="CCCCCC"/>
                <w:sz w:val="16"/>
                <w:szCs w:val="16"/>
              </w:rPr>
              <w:t>▼</w:t>
            </w:r>
          </w:p>
        </w:tc>
        <w:tc>
          <w:tcPr>
            <w:tcW w:w="4679" w:type="dxa"/>
            <w:tcBorders/>
            <w:shd w:fill="FFFFFF" w:val="clear"/>
            <w:tcMar>
              <w:top w:w="0" w:type="dxa"/>
              <w:start w:w="0" w:type="dxa"/>
              <w:bottom w:w="0" w:type="dxa"/>
              <w:end w:w="0" w:type="dxa"/>
            </w:tcMar>
          </w:tcPr>
          <w:p>
            <w:pPr>
              <w:pStyle w:val="Normal"/>
              <w:rPr/>
            </w:pPr>
            <w:r>
              <w:rPr/>
            </w:r>
          </w:p>
        </w:tc>
      </w:tr>
      <w:tr>
        <w:trPr/>
        <w:tc>
          <w:tcPr>
            <w:tcW w:w="468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Terminus: RV_factor as a whole</w:t>
            </w:r>
          </w:p>
        </w:tc>
        <w:tc>
          <w:tcPr>
            <w:tcW w:w="4679" w:type="dxa"/>
            <w:tcBorders>
              <w:top w:val="single" w:sz="2" w:space="0" w:color="CCCCCC"/>
              <w:start w:val="single" w:sz="2" w:space="0" w:color="CCCCCC"/>
              <w:bottom w:val="single" w:sz="2" w:space="0" w:color="CCCCCC"/>
              <w:end w:val="single" w:sz="2" w:space="0" w:color="CCCCCC"/>
            </w:tcBorders>
            <w:shd w:fill="F0F4FA" w:val="clear"/>
            <w:tcMar>
              <w:start w:w="160" w:type="dxa"/>
              <w:end w:w="160" w:type="dxa"/>
            </w:tcMar>
          </w:tcPr>
          <w:p>
            <w:pPr>
              <w:pStyle w:val="Normal"/>
              <w:jc w:val="both"/>
              <w:rPr/>
            </w:pPr>
            <w:r>
              <w:rPr>
                <w:rFonts w:eastAsia="Arial" w:cs="Arial"/>
                <w:color w:val="000000"/>
                <w:sz w:val="20"/>
                <w:szCs w:val="20"/>
              </w:rPr>
              <w:t>RV_factor = [(1+ΔG)/(1+ΔD)] · [(B−m)/(B+m)] · [D·μ/(1+λ)]. The fourth stream terminates in the Flow Invariant as a whole. CV_realized is the source of Generation Output: it is what the non-DERIVE operations produce, and its proportional growth relative to Derivation Output determines (1+ΔG)/(1+ΔD). But CV_realized also depends on frame coherence (V → m), structural integrity (A → D), and excitation (T → λ) — the three factors of RV_factor each receive contributions from the three anchor streams. Stream 4 is integrative: it generates the value whose flow across all three dimensions constitutes RV_factor. In RV_total, Stream 4 contributes through Ψ_j = G_j·μ_j·D_j/(1+λ_j) — the Generative Potential and Memory Penalty terms. The Sanctuary + Firewall pair protects nascent CV_realized during development before it can contribute to either invariant.</w:t>
            </w:r>
          </w:p>
        </w:tc>
      </w:tr>
    </w:tbl>
    <w:p>
      <w:pPr>
        <w:pStyle w:val="Normal"/>
        <w:spacing w:before="80" w:after="80"/>
        <w:rPr/>
      </w:pPr>
      <w:r>
        <w:rPr/>
      </w:r>
    </w:p>
    <w:p>
      <w:pPr>
        <w:pStyle w:val="Heading3"/>
        <w:spacing w:before="200" w:after="80"/>
        <w:rPr/>
      </w:pPr>
      <w:r>
        <w:rPr>
          <w:rFonts w:eastAsia="Arial" w:cs="Arial" w:ascii="Arial" w:hAnsi="Arial"/>
          <w:b/>
          <w:bCs/>
          <w:color w:val="1F3864"/>
          <w:sz w:val="22"/>
          <w:szCs w:val="22"/>
        </w:rPr>
        <w:t>What blocks this stream</w:t>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Block</w:t>
            </w:r>
          </w:p>
        </w:tc>
        <w:tc>
          <w:tcPr>
            <w:tcW w:w="4679"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Consequence</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CV_realized → 0</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No operational history to accumulate. GO does not grow. ΔG = 0 while ΔD may remain positive from existing DERIVE operations. The ratio (1+ΔG)/(1+ΔD) falls toward zero. Commitments exist as structural potentials only — they have no realized generative capacity to contribute to GO.</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Any Fabric coordinate at zero</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Fabric Integrity D·μ/(1+λ) = 0 when D = 0 or μ = 0. RV_factor collapses to zero. RV_total continues to hold whatever Exchange Value and coherence stock has accumulated, but no further vitality is possible. Boundaries and Archives become jointly critical: each protects a different prerequisite of Fabric Integrity.</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Sanctuary penetrated</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A nascent commitment that has not completed development is exposed to TEST evaluations and operational pressures it was not built to withstand. ℐ = −1 signals HEAL, which dispatches to the nascent commitment’s coordinates at a stage when they cannot sustain REPAIR. The developmental arc terminates. The Ψ that would have emerged does not.</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G_vt &lt; 1 sustained</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When ΔD grows proportionally faster than ΔG across steps, (1+ΔG)/(1+ΔD) falls. Frame phases disperse, driving m upward toward B; (B−m)/(B+m) falls. Fabric Integrity erodes as D and μ are consumed. RV_factor collapses across all three factors simultaneously. RV_total may still hold accumulated stock but the flow is gone — the formal expression of phantom value.</w:t>
            </w:r>
          </w:p>
        </w:tc>
      </w:tr>
    </w:tbl>
    <w:p>
      <w:pPr>
        <w:pStyle w:val="Normal"/>
        <w:spacing w:before="80" w:after="80"/>
        <w:rPr/>
      </w:pPr>
      <w:r>
        <w:rPr/>
      </w:r>
    </w:p>
    <w:p>
      <w:pPr>
        <w:pStyle w:val="Normal"/>
        <w:pBdr>
          <w:bottom w:val="single" w:sz="4" w:space="0" w:color="1F3864"/>
        </w:pBdr>
        <w:spacing w:before="200" w:after="200"/>
        <w:rPr/>
      </w:pPr>
      <w:r>
        <w:rPr/>
      </w:r>
    </w:p>
    <w:p>
      <w:pPr>
        <w:pStyle w:val="Normal"/>
        <w:spacing w:before="60" w:after="60"/>
        <w:rPr/>
      </w:pPr>
      <w:r>
        <w:rPr/>
      </w:r>
    </w:p>
    <w:p>
      <w:pPr>
        <w:pStyle w:val="Heading1"/>
        <w:spacing w:before="360" w:after="160"/>
        <w:rPr/>
      </w:pPr>
      <w:r>
        <w:rPr>
          <w:rFonts w:eastAsia="Arial" w:cs="Arial" w:ascii="Arial" w:hAnsi="Arial"/>
          <w:b/>
          <w:bCs/>
          <w:color w:val="1F3864"/>
          <w:sz w:val="32"/>
          <w:szCs w:val="32"/>
        </w:rPr>
        <w:t>Convergence at the Two Invariants</w:t>
      </w:r>
    </w:p>
    <w:p>
      <w:pPr>
        <w:pStyle w:val="Normal"/>
        <w:spacing w:before="80" w:after="80"/>
        <w:jc w:val="both"/>
        <w:rPr/>
      </w:pPr>
      <w:r>
        <w:rPr>
          <w:rFonts w:eastAsia="Arial" w:cs="Arial"/>
          <w:b w:val="false"/>
          <w:bCs w:val="false"/>
          <w:i w:val="false"/>
          <w:iCs w:val="false"/>
          <w:color w:val="000000"/>
          <w:sz w:val="22"/>
          <w:szCs w:val="22"/>
        </w:rPr>
        <w:t>The four streams arrive at the two Relational Value Invariants from independent directions. Stream 1 (Visibility) sustains alignment — contributing to (1−m)·ΣΦ_ij in RV_total and (B−m)/(B+m) in RV_factor. Stream 2 (Assurance) sustains Fabric Integrity — contributing D to D·μ/(1+λ) in RV_factor and to Ψ_j in RV_total. Stream 3 (Transferability) drives Exchange Value in RV_total and Generative Momentum (1+ΔG)/(1+ΔD) in RV_factor. Stream 4 (CV_realized) generates the value that flows through all three factors — its terminus is RV_factor as a whole.</w:t>
      </w:r>
    </w:p>
    <w:p>
      <w:pPr>
        <w:pStyle w:val="Normal"/>
        <w:spacing w:before="60" w:after="60"/>
        <w:rPr/>
      </w:pPr>
      <w:r>
        <w:rPr/>
      </w:r>
    </w:p>
    <w:tbl>
      <w:tblPr>
        <w:tblW w:w="9360" w:type="dxa"/>
        <w:jc w:val="start"/>
        <w:tblInd w:w="0" w:type="dxa"/>
        <w:tblLayout w:type="fixed"/>
        <w:tblCellMar>
          <w:top w:w="140" w:type="dxa"/>
          <w:start w:w="220" w:type="dxa"/>
          <w:bottom w:w="140" w:type="dxa"/>
          <w:end w:w="220" w:type="dxa"/>
        </w:tblCellMar>
      </w:tblPr>
      <w:tblGrid>
        <w:gridCol w:w="9360"/>
      </w:tblGrid>
      <w:tr>
        <w:trPr/>
        <w:tc>
          <w:tcPr>
            <w:tcW w:w="9360" w:type="dxa"/>
            <w:tcBorders>
              <w:top w:val="single" w:sz="2" w:space="0" w:color="1F3864"/>
              <w:start w:val="single" w:sz="2" w:space="0" w:color="1F3864"/>
              <w:bottom w:val="single" w:sz="2" w:space="0" w:color="1F3864"/>
              <w:end w:val="single" w:sz="2" w:space="0" w:color="1F3864"/>
            </w:tcBorders>
            <w:shd w:fill="1F3864" w:val="clear"/>
          </w:tcPr>
          <w:p>
            <w:pPr>
              <w:pStyle w:val="Normal"/>
              <w:spacing w:before="55" w:after="55"/>
              <w:jc w:val="both"/>
              <w:rPr/>
            </w:pPr>
            <w:r>
              <w:rPr>
                <w:rFonts w:eastAsia="Arial" w:cs="Arial"/>
                <w:b/>
                <w:bCs/>
                <w:color w:val="000000"/>
                <w:sz w:val="22"/>
                <w:szCs w:val="22"/>
              </w:rPr>
              <w:t>RV_total = Σ_j EV_j  +  ln2·(1−m)·Σ_{i&lt;j} Φ_ij  +  ln2·Σ_j Ψ_j  −  ln2·Σ_j(1−μ_j)Ψ_j</w:t>
            </w:r>
          </w:p>
          <w:p>
            <w:pPr>
              <w:pStyle w:val="Normal"/>
              <w:spacing w:before="55" w:after="55"/>
              <w:jc w:val="both"/>
              <w:rPr/>
            </w:pPr>
            <w:r>
              <w:rPr/>
            </w:r>
          </w:p>
          <w:p>
            <w:pPr>
              <w:pStyle w:val="Normal"/>
              <w:spacing w:before="55" w:after="55"/>
              <w:jc w:val="both"/>
              <w:rPr/>
            </w:pPr>
            <w:r>
              <w:rPr>
                <w:rFonts w:eastAsia="Arial" w:cs="Arial"/>
                <w:b w:val="false"/>
                <w:bCs w:val="false"/>
                <w:color w:val="000000"/>
                <w:sz w:val="20"/>
                <w:szCs w:val="20"/>
              </w:rPr>
              <w:t>RV_factor = [(1+ΔG)/(1+ΔD)]  ·  [(B−m)/(B+m)]  ·  [D·μ/(1+λ)]</w:t>
            </w:r>
          </w:p>
          <w:p>
            <w:pPr>
              <w:pStyle w:val="Normal"/>
              <w:spacing w:before="55" w:after="55"/>
              <w:jc w:val="both"/>
              <w:rPr/>
            </w:pPr>
            <w:r>
              <w:rPr>
                <w:rFonts w:eastAsia="Arial" w:cs="Arial"/>
                <w:b w:val="false"/>
                <w:bCs w:val="false"/>
                <w:color w:val="000000"/>
                <w:sz w:val="20"/>
                <w:szCs w:val="20"/>
              </w:rPr>
              <w:t>RV_total Term 1:  Σ_j EV_j                                          Stream 3 — Transferability</w:t>
            </w:r>
          </w:p>
          <w:p>
            <w:pPr>
              <w:pStyle w:val="Normal"/>
              <w:spacing w:before="55" w:after="55"/>
              <w:jc w:val="both"/>
              <w:rPr/>
            </w:pPr>
            <w:r>
              <w:rPr>
                <w:rFonts w:eastAsia="Arial" w:cs="Arial"/>
                <w:b w:val="false"/>
                <w:bCs w:val="false"/>
                <w:color w:val="000000"/>
                <w:sz w:val="20"/>
                <w:szCs w:val="20"/>
              </w:rPr>
              <w:t>RV_total Term 2:  ln2·(1−m)·ΣΦ_ij   where  Φ_ij = 1−R_D(i,j)       Stream 1 — Visibility</w:t>
            </w:r>
          </w:p>
          <w:p>
            <w:pPr>
              <w:pStyle w:val="Normal"/>
              <w:spacing w:before="55" w:after="55"/>
              <w:jc w:val="both"/>
              <w:rPr/>
            </w:pPr>
            <w:r>
              <w:rPr>
                <w:rFonts w:eastAsia="Arial" w:cs="Arial"/>
                <w:b w:val="false"/>
                <w:bCs w:val="false"/>
                <w:color w:val="000000"/>
                <w:sz w:val="20"/>
                <w:szCs w:val="20"/>
              </w:rPr>
              <w:t>RV_total Terms 3+4:  ln2·Σ_j Ψ_j − ln2·Σ_j(1−μ_j)Ψ_j   where  Ψ_j = G_j·μ_j·D_j/(1+λ_j)     Streams 2+4 — Assurance and Integrative</w:t>
            </w:r>
          </w:p>
        </w:tc>
      </w:tr>
    </w:tbl>
    <w:p>
      <w:pPr>
        <w:pStyle w:val="Normal"/>
        <w:spacing w:before="80" w:after="80"/>
        <w:rPr/>
      </w:pPr>
      <w:r>
        <w:rPr/>
      </w:r>
    </w:p>
    <w:p>
      <w:pPr>
        <w:pStyle w:val="Heading2"/>
        <w:spacing w:before="260" w:after="100"/>
        <w:rPr/>
      </w:pPr>
      <w:r>
        <w:rPr>
          <w:rFonts w:eastAsia="Arial" w:cs="Arial" w:ascii="Arial" w:hAnsi="Arial"/>
          <w:b/>
          <w:bCs/>
          <w:color w:val="1F3864"/>
          <w:sz w:val="26"/>
          <w:szCs w:val="26"/>
        </w:rPr>
        <w:t>Structural Asymmetries</w:t>
      </w:r>
    </w:p>
    <w:p>
      <w:pPr>
        <w:pStyle w:val="Normal"/>
        <w:spacing w:before="80" w:after="80"/>
        <w:jc w:val="both"/>
        <w:rPr/>
      </w:pPr>
      <w:r>
        <w:rPr>
          <w:rFonts w:eastAsia="Arial" w:cs="Arial"/>
          <w:b w:val="false"/>
          <w:bCs w:val="false"/>
          <w:i w:val="false"/>
          <w:iCs w:val="false"/>
          <w:color w:val="000000"/>
          <w:sz w:val="22"/>
          <w:szCs w:val="22"/>
        </w:rPr>
        <w:t>Four structural properties of the two invariants deserve explicit statement. They are not anomalies — each is a consequence of what the four streams carry and the relationship between the stock and flow invariants.</w:t>
      </w:r>
    </w:p>
    <w:p>
      <w:pPr>
        <w:pStyle w:val="Normal"/>
        <w:spacing w:before="60" w:after="60"/>
        <w:rPr/>
      </w:pPr>
      <w:r>
        <w:rPr/>
      </w:r>
    </w:p>
    <w:tbl>
      <w:tblPr>
        <w:tblW w:w="9360" w:type="dxa"/>
        <w:jc w:val="start"/>
        <w:tblInd w:w="0" w:type="dxa"/>
        <w:tblLayout w:type="fixed"/>
        <w:tblCellMar>
          <w:top w:w="80" w:type="dxa"/>
          <w:start w:w="120" w:type="dxa"/>
          <w:bottom w:w="80" w:type="dxa"/>
          <w:end w:w="120" w:type="dxa"/>
        </w:tblCellMar>
      </w:tblPr>
      <w:tblGrid>
        <w:gridCol w:w="4680"/>
        <w:gridCol w:w="4679"/>
      </w:tblGrid>
      <w:tr>
        <w:trPr/>
        <w:tc>
          <w:tcPr>
            <w:tcW w:w="4680"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Asymmetry</w:t>
            </w:r>
          </w:p>
        </w:tc>
        <w:tc>
          <w:tcPr>
            <w:tcW w:w="4679" w:type="dxa"/>
            <w:tcBorders>
              <w:top w:val="single" w:sz="2" w:space="0" w:color="CCCCCC"/>
              <w:start w:val="single" w:sz="2" w:space="0" w:color="CCCCCC"/>
              <w:bottom w:val="single" w:sz="2" w:space="0" w:color="CCCCCC"/>
              <w:end w:val="single" w:sz="2" w:space="0" w:color="CCCCCC"/>
            </w:tcBorders>
            <w:shd w:fill="1F3864" w:val="clear"/>
          </w:tcPr>
          <w:p>
            <w:pPr>
              <w:pStyle w:val="Normal"/>
              <w:jc w:val="both"/>
              <w:rPr/>
            </w:pPr>
            <w:r>
              <w:rPr>
                <w:rFonts w:eastAsia="Arial" w:cs="Arial"/>
                <w:b/>
                <w:bCs/>
                <w:color w:val="FFFFFF"/>
                <w:sz w:val="19"/>
                <w:szCs w:val="19"/>
              </w:rPr>
              <w:t>What it means</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RV_total has one negative term; RV_factor has none</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RV_total retains the Memory Penalty −ln2·Σ_j(1−μ_j)Ψ_j as its only negative term: the entropy cost of operations is priced in the stock as a reduction in Generative Potential weighted by memory degradation. RV_factor has no negative term — structural dissipation is expressed through the sensitivity of D·μ/(1+λ) to D and μ depletion. A stock can hold accumulated value while its flow is degrading. The two invariants together capture both the historical cost (stock) and the present-state consequence (flow) of dissipation.</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RV_factor is multiplicative; RV_total is additive</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RV_factor is multiplicative: collapse in any one factor collapses vitality entirely. RV_total is additive: a term can collapse while others partially compensate, allowing the stock to hold positive value even as one stream fails. This is structurally correct — a network can hold accumulated Exchange Value and Generative Potential even as its alignment degrades, but its vitality is already zero. The two invariants together reveal what a single invariant of either type alone would conceal.</w:t>
            </w:r>
          </w:p>
        </w:tc>
      </w:tr>
      <w:tr>
        <w:trPr/>
        <w:tc>
          <w:tcPr>
            <w:tcW w:w="4680"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B = 1−e⁻¹ throughout</w:t>
            </w:r>
          </w:p>
        </w:tc>
        <w:tc>
          <w:tcPr>
            <w:tcW w:w="4679" w:type="dxa"/>
            <w:tcBorders>
              <w:top w:val="single" w:sz="2" w:space="0" w:color="CCCCCC"/>
              <w:start w:val="single" w:sz="2" w:space="0" w:color="CCCCCC"/>
              <w:bottom w:val="single" w:sz="2" w:space="0" w:color="CCCCCC"/>
              <w:end w:val="single" w:sz="2" w:space="0" w:color="CCCCCC"/>
            </w:tcBorders>
            <w:shd w:fill="F5F5F5" w:val="clear"/>
          </w:tcPr>
          <w:p>
            <w:pPr>
              <w:pStyle w:val="Normal"/>
              <w:jc w:val="both"/>
              <w:rPr/>
            </w:pPr>
            <w:r>
              <w:rPr>
                <w:rFonts w:eastAsia="Arial" w:cs="Arial"/>
                <w:b w:val="false"/>
                <w:bCs w:val="false"/>
                <w:color w:val="000000"/>
                <w:sz w:val="19"/>
                <w:szCs w:val="19"/>
              </w:rPr>
              <w:t>The Isolation Boundary B = 1−e⁻¹ appears in RV_factor as the gate of (B−m)/(B+m), and as the pairwise threshold governing interaction modes. It is the same structural constant applied at two scales: pairwise and globally. ln 2 governs dependency depth decay, Memory degradation, and violation damage — and remains the coefficient of all RV_total terms. The two invariants use different constants appropriately: ln 2 for the stock whose terms derive from relational decay; B for the flow whose alignment factor is bounded by the Isolation Boundary.</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T₁ and T₅ anti-correlate</w:t>
            </w:r>
          </w:p>
        </w:tc>
        <w:tc>
          <w:tcPr>
            <w:tcW w:w="4679"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Arial" w:cs="Arial"/>
                <w:b w:val="false"/>
                <w:bCs w:val="false"/>
                <w:color w:val="000000"/>
                <w:sz w:val="19"/>
                <w:szCs w:val="19"/>
              </w:rPr>
              <w:t>High λ (Stream 3) means high operational tempo (T₁). High λ appears in the denominator of Fabric Integrity D·μ/(1+λ) in RV_factor, reducing it directly. High T also drives Exchange Value into RV_total. This is the Generative Temporal Anti-Correlation theorem expressed across both invariants: λ simultaneously increases RV_total stock (through EV) and decreases RV_factor flow (through Fabric Integrity). The metric tensor entries g₁₅ &lt; 0 and g₂₅ &lt; 0 are forced by this structure, not independently derived.</w:t>
            </w:r>
          </w:p>
        </w:tc>
      </w:tr>
    </w:tbl>
    <w:p>
      <w:pPr>
        <w:pStyle w:val="Normal"/>
        <w:spacing w:before="80" w:after="80"/>
        <w:rPr/>
      </w:pPr>
      <w:r>
        <w:rPr/>
      </w:r>
    </w:p>
    <w:p>
      <w:pPr>
        <w:pStyle w:val="Heading2"/>
        <w:spacing w:before="260" w:after="100"/>
        <w:rPr/>
      </w:pPr>
      <w:r>
        <w:rPr>
          <w:rFonts w:eastAsia="Arial" w:cs="Arial" w:ascii="Arial" w:hAnsi="Arial"/>
          <w:b/>
          <w:bCs/>
          <w:color w:val="1F3864"/>
          <w:sz w:val="26"/>
          <w:szCs w:val="26"/>
        </w:rPr>
        <w:t>The Complete Stream Map</w:t>
      </w:r>
    </w:p>
    <w:p>
      <w:pPr>
        <w:pStyle w:val="Normal"/>
        <w:spacing w:before="80" w:after="80"/>
        <w:jc w:val="both"/>
        <w:rPr/>
      </w:pPr>
      <w:r>
        <w:rPr>
          <w:rFonts w:eastAsia="Arial" w:cs="Arial"/>
          <w:b w:val="false"/>
          <w:bCs w:val="false"/>
          <w:i w:val="false"/>
          <w:iCs w:val="false"/>
          <w:color w:val="000000"/>
          <w:sz w:val="22"/>
          <w:szCs w:val="22"/>
        </w:rPr>
        <w:t>The table below shows all four streams across all six layers simultaneously. Each column is a structural layer; each row is a stream; each cell is what that stream carries at that layer.</w:t>
      </w:r>
    </w:p>
    <w:p>
      <w:pPr>
        <w:pStyle w:val="Normal"/>
        <w:spacing w:before="60" w:after="60"/>
        <w:rPr/>
      </w:pPr>
      <w:r>
        <w:rPr/>
      </w:r>
    </w:p>
    <w:tbl>
      <w:tblPr>
        <w:tblW w:w="9360" w:type="dxa"/>
        <w:jc w:val="start"/>
        <w:tblInd w:w="0" w:type="dxa"/>
        <w:tblLayout w:type="fixed"/>
        <w:tblCellMar>
          <w:top w:w="80" w:type="dxa"/>
          <w:start w:w="60" w:type="dxa"/>
          <w:bottom w:w="80" w:type="dxa"/>
          <w:end w:w="60" w:type="dxa"/>
        </w:tblCellMar>
      </w:tblPr>
      <w:tblGrid>
        <w:gridCol w:w="1170"/>
        <w:gridCol w:w="1170"/>
        <w:gridCol w:w="1170"/>
        <w:gridCol w:w="1170"/>
        <w:gridCol w:w="1170"/>
        <w:gridCol w:w="1170"/>
        <w:gridCol w:w="1170"/>
        <w:gridCol w:w="1169"/>
      </w:tblGrid>
      <w:tr>
        <w:trPr/>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Source</w:t>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Intermediate</w:t>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Fabric Coord.</w:t>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Governance</w:t>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Infrastructure</w:t>
            </w:r>
          </w:p>
        </w:tc>
        <w:tc>
          <w:tcPr>
            <w:tcW w:w="1170"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Emergent Structure</w:t>
            </w:r>
          </w:p>
        </w:tc>
        <w:tc>
          <w:tcPr>
            <w:tcW w:w="1169" w:type="dxa"/>
            <w:tcBorders>
              <w:top w:val="single" w:sz="2" w:space="0" w:color="1F3864"/>
              <w:start w:val="single" w:sz="2" w:space="0" w:color="1F3864"/>
              <w:bottom w:val="single" w:sz="2" w:space="0" w:color="1F3864"/>
              <w:end w:val="single" w:sz="2" w:space="0" w:color="1F3864"/>
            </w:tcBorders>
            <w:shd w:fill="1F3864" w:val="clear"/>
          </w:tcPr>
          <w:p>
            <w:pPr>
              <w:pStyle w:val="Normal"/>
              <w:jc w:val="center"/>
              <w:rPr/>
            </w:pPr>
            <w:r>
              <w:rPr>
                <w:rFonts w:eastAsia="Arial" w:cs="Arial"/>
                <w:b/>
                <w:bCs/>
                <w:color w:val="FFFFFF"/>
                <w:sz w:val="16"/>
                <w:szCs w:val="16"/>
              </w:rPr>
              <w:t>RV_total + RV_factor</w:t>
            </w:r>
          </w:p>
        </w:tc>
      </w:tr>
      <w:tr>
        <w:trPr/>
        <w:tc>
          <w:tcPr>
            <w:tcW w:w="1170" w:type="dxa"/>
            <w:tcBorders>
              <w:top w:val="single" w:sz="2" w:space="0" w:color="1A5C3A"/>
              <w:start w:val="single" w:sz="2" w:space="0" w:color="1A5C3A"/>
              <w:bottom w:val="single" w:sz="2" w:space="0" w:color="1A5C3A"/>
              <w:end w:val="single" w:sz="2" w:space="0" w:color="1A5C3A"/>
            </w:tcBorders>
            <w:shd w:fill="1A5C3A" w:val="clear"/>
            <w:vAlign w:val="center"/>
          </w:tcPr>
          <w:p>
            <w:pPr>
              <w:pStyle w:val="Normal"/>
              <w:jc w:val="center"/>
              <w:rPr/>
            </w:pPr>
            <w:r>
              <w:rPr>
                <w:rFonts w:eastAsia="Arial" w:cs="Arial"/>
                <w:b/>
                <w:bCs/>
                <w:color w:val="FFFFFF"/>
                <w:sz w:val="20"/>
                <w:szCs w:val="20"/>
              </w:rPr>
              <w:t>1</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V</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Frame (Φ, θ)</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Memory (μ)</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SCRIBE</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Archive</w:t>
            </w:r>
          </w:p>
        </w:tc>
        <w:tc>
          <w:tcPr>
            <w:tcW w:w="1170"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Temporal Entanglement</w:t>
            </w:r>
          </w:p>
        </w:tc>
        <w:tc>
          <w:tcPr>
            <w:tcW w:w="1169" w:type="dxa"/>
            <w:tcBorders>
              <w:top w:val="single" w:sz="2" w:space="0" w:color="CCCCCC"/>
              <w:start w:val="single" w:sz="2" w:space="0" w:color="CCCCCC"/>
              <w:bottom w:val="single" w:sz="2" w:space="0" w:color="CCCCCC"/>
              <w:end w:val="single" w:sz="2" w:space="0" w:color="CCCCCC"/>
            </w:tcBorders>
            <w:shd w:fill="EAF4EE" w:val="clear"/>
            <w:tcMar>
              <w:top w:w="75" w:type="dxa"/>
              <w:bottom w:w="75" w:type="dxa"/>
            </w:tcMar>
          </w:tcPr>
          <w:p>
            <w:pPr>
              <w:pStyle w:val="Normal"/>
              <w:jc w:val="both"/>
              <w:rPr/>
            </w:pPr>
            <w:r>
              <w:rPr>
                <w:rFonts w:eastAsia="Arial" w:cs="Arial"/>
                <w:color w:val="000000"/>
                <w:sz w:val="16"/>
                <w:szCs w:val="16"/>
              </w:rPr>
              <w:t>RV_total: ln2·(1−m)·ΣΦ_ij   RV_factor: (B−m)/(B+m)</w:t>
            </w:r>
          </w:p>
        </w:tc>
      </w:tr>
      <w:tr>
        <w:trPr/>
        <w:tc>
          <w:tcPr>
            <w:tcW w:w="1170" w:type="dxa"/>
            <w:tcBorders>
              <w:top w:val="single" w:sz="2" w:space="0" w:color="7A1A1A"/>
              <w:start w:val="single" w:sz="2" w:space="0" w:color="7A1A1A"/>
              <w:bottom w:val="single" w:sz="2" w:space="0" w:color="7A1A1A"/>
              <w:end w:val="single" w:sz="2" w:space="0" w:color="7A1A1A"/>
            </w:tcBorders>
            <w:shd w:fill="7A1A1A" w:val="clear"/>
            <w:vAlign w:val="center"/>
          </w:tcPr>
          <w:p>
            <w:pPr>
              <w:pStyle w:val="Normal"/>
              <w:jc w:val="center"/>
              <w:rPr/>
            </w:pPr>
            <w:r>
              <w:rPr>
                <w:rFonts w:eastAsia="Arial" w:cs="Arial"/>
                <w:b/>
                <w:bCs/>
                <w:color w:val="FFFFFF"/>
                <w:sz w:val="20"/>
                <w:szCs w:val="20"/>
              </w:rPr>
              <w:t>2</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A</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Dependency Depth (d)</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Defense (D)</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SECURE</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Boundary</w:t>
            </w:r>
          </w:p>
        </w:tc>
        <w:tc>
          <w:tcPr>
            <w:tcW w:w="1170"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The Fabric</w:t>
            </w:r>
          </w:p>
        </w:tc>
        <w:tc>
          <w:tcPr>
            <w:tcW w:w="1169" w:type="dxa"/>
            <w:tcBorders>
              <w:top w:val="single" w:sz="2" w:space="0" w:color="CCCCCC"/>
              <w:start w:val="single" w:sz="2" w:space="0" w:color="CCCCCC"/>
              <w:bottom w:val="single" w:sz="2" w:space="0" w:color="CCCCCC"/>
              <w:end w:val="single" w:sz="2" w:space="0" w:color="CCCCCC"/>
            </w:tcBorders>
            <w:shd w:fill="FAF0F0" w:val="clear"/>
            <w:tcMar>
              <w:top w:w="75" w:type="dxa"/>
              <w:bottom w:w="75" w:type="dxa"/>
            </w:tcMar>
          </w:tcPr>
          <w:p>
            <w:pPr>
              <w:pStyle w:val="Normal"/>
              <w:jc w:val="both"/>
              <w:rPr/>
            </w:pPr>
            <w:r>
              <w:rPr>
                <w:rFonts w:eastAsia="Arial" w:cs="Arial"/>
                <w:color w:val="000000"/>
                <w:sz w:val="16"/>
                <w:szCs w:val="16"/>
              </w:rPr>
              <w:t>RV_total: ln2·Σ_jΨ_j − ln2·Σ_j(1−μ_j)Ψ_j   RV_factor: D·μ/(1+λ)</w:t>
            </w:r>
          </w:p>
        </w:tc>
      </w:tr>
      <w:tr>
        <w:trPr/>
        <w:tc>
          <w:tcPr>
            <w:tcW w:w="1170" w:type="dxa"/>
            <w:tcBorders>
              <w:top w:val="single" w:sz="2" w:space="0" w:color="5C3A00"/>
              <w:start w:val="single" w:sz="2" w:space="0" w:color="5C3A00"/>
              <w:bottom w:val="single" w:sz="2" w:space="0" w:color="5C3A00"/>
              <w:end w:val="single" w:sz="2" w:space="0" w:color="5C3A00"/>
            </w:tcBorders>
            <w:shd w:fill="5C3A00" w:val="clear"/>
            <w:vAlign w:val="center"/>
          </w:tcPr>
          <w:p>
            <w:pPr>
              <w:pStyle w:val="Normal"/>
              <w:jc w:val="center"/>
              <w:rPr/>
            </w:pPr>
            <w:r>
              <w:rPr>
                <w:rFonts w:eastAsia="Arial" w:cs="Arial"/>
                <w:b/>
                <w:bCs/>
                <w:color w:val="FFFFFF"/>
                <w:sz w:val="20"/>
                <w:szCs w:val="20"/>
              </w:rPr>
              <w:t>3</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T</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Base Value (CV₀)</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Pulse (λ)</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MODULATE</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Reserve</w:t>
            </w:r>
          </w:p>
        </w:tc>
        <w:tc>
          <w:tcPr>
            <w:tcW w:w="1170"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Channels</w:t>
            </w:r>
          </w:p>
        </w:tc>
        <w:tc>
          <w:tcPr>
            <w:tcW w:w="1169" w:type="dxa"/>
            <w:tcBorders>
              <w:top w:val="single" w:sz="2" w:space="0" w:color="CCCCCC"/>
              <w:start w:val="single" w:sz="2" w:space="0" w:color="CCCCCC"/>
              <w:bottom w:val="single" w:sz="2" w:space="0" w:color="CCCCCC"/>
              <w:end w:val="single" w:sz="2" w:space="0" w:color="CCCCCC"/>
            </w:tcBorders>
            <w:shd w:fill="FBF6EA" w:val="clear"/>
            <w:tcMar>
              <w:top w:w="75" w:type="dxa"/>
              <w:bottom w:w="75" w:type="dxa"/>
            </w:tcMar>
          </w:tcPr>
          <w:p>
            <w:pPr>
              <w:pStyle w:val="Normal"/>
              <w:jc w:val="both"/>
              <w:rPr/>
            </w:pPr>
            <w:r>
              <w:rPr>
                <w:rFonts w:eastAsia="Arial" w:cs="Arial"/>
                <w:color w:val="000000"/>
                <w:sz w:val="16"/>
                <w:szCs w:val="16"/>
              </w:rPr>
              <w:t>RV_total: Σ_j EV_j   RV_factor: (1+ΔG)/(1+ΔD)</w:t>
            </w:r>
          </w:p>
        </w:tc>
      </w:tr>
      <w:tr>
        <w:trPr/>
        <w:tc>
          <w:tcPr>
            <w:tcW w:w="1170" w:type="dxa"/>
            <w:tcBorders>
              <w:top w:val="single" w:sz="2" w:space="0" w:color="1F3864"/>
              <w:start w:val="single" w:sz="2" w:space="0" w:color="1F3864"/>
              <w:bottom w:val="single" w:sz="2" w:space="0" w:color="1F3864"/>
              <w:end w:val="single" w:sz="2" w:space="0" w:color="1F3864"/>
            </w:tcBorders>
            <w:shd w:fill="1F3864" w:val="clear"/>
            <w:vAlign w:val="center"/>
          </w:tcPr>
          <w:p>
            <w:pPr>
              <w:pStyle w:val="Normal"/>
              <w:jc w:val="center"/>
              <w:rPr/>
            </w:pPr>
            <w:r>
              <w:rPr>
                <w:rFonts w:eastAsia="Arial" w:cs="Arial"/>
                <w:b/>
                <w:bCs/>
                <w:color w:val="FFFFFF"/>
                <w:sz w:val="20"/>
                <w:szCs w:val="20"/>
              </w:rPr>
              <w:t>4</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CV_realized</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GO and DO (Exchange Value from non-DERIVE and DERIVE operations)</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D + μ + λ</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HEAL</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Sanctuary + Firewall</w:t>
            </w:r>
          </w:p>
        </w:tc>
        <w:tc>
          <w:tcPr>
            <w:tcW w:w="1170"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Generativity (G_vt)</w:t>
            </w:r>
          </w:p>
        </w:tc>
        <w:tc>
          <w:tcPr>
            <w:tcW w:w="1169" w:type="dxa"/>
            <w:tcBorders>
              <w:top w:val="single" w:sz="2" w:space="0" w:color="CCCCCC"/>
              <w:start w:val="single" w:sz="2" w:space="0" w:color="CCCCCC"/>
              <w:bottom w:val="single" w:sz="2" w:space="0" w:color="CCCCCC"/>
              <w:end w:val="single" w:sz="2" w:space="0" w:color="CCCCCC"/>
            </w:tcBorders>
            <w:shd w:fill="F0F4FA" w:val="clear"/>
            <w:tcMar>
              <w:top w:w="75" w:type="dxa"/>
              <w:bottom w:w="75" w:type="dxa"/>
            </w:tcMar>
          </w:tcPr>
          <w:p>
            <w:pPr>
              <w:pStyle w:val="Normal"/>
              <w:jc w:val="both"/>
              <w:rPr/>
            </w:pPr>
            <w:r>
              <w:rPr>
                <w:rFonts w:eastAsia="Arial" w:cs="Arial"/>
                <w:color w:val="000000"/>
                <w:sz w:val="16"/>
                <w:szCs w:val="16"/>
              </w:rPr>
              <w:t>RV_factor as a whole</w:t>
            </w:r>
          </w:p>
        </w:tc>
      </w:tr>
    </w:tbl>
    <w:p>
      <w:pPr>
        <w:pStyle w:val="Normal"/>
        <w:spacing w:before="100" w:after="100"/>
        <w:rPr/>
      </w:pPr>
      <w:r>
        <w:rPr/>
      </w:r>
    </w:p>
    <w:tbl>
      <w:tblPr>
        <w:tblW w:w="9360" w:type="dxa"/>
        <w:jc w:val="start"/>
        <w:tblInd w:w="0" w:type="dxa"/>
        <w:tblLayout w:type="fixed"/>
        <w:tblCellMar>
          <w:top w:w="140" w:type="dxa"/>
          <w:start w:w="220" w:type="dxa"/>
          <w:bottom w:w="140" w:type="dxa"/>
          <w:end w:w="220" w:type="dxa"/>
        </w:tblCellMar>
      </w:tblPr>
      <w:tblGrid>
        <w:gridCol w:w="9360"/>
      </w:tblGrid>
      <w:tr>
        <w:trPr/>
        <w:tc>
          <w:tcPr>
            <w:tcW w:w="9360" w:type="dxa"/>
            <w:tcBorders>
              <w:top w:val="single" w:sz="2" w:space="0" w:color="1F3864"/>
              <w:start w:val="single" w:sz="2" w:space="0" w:color="1F3864"/>
              <w:bottom w:val="single" w:sz="2" w:space="0" w:color="1F3864"/>
              <w:end w:val="single" w:sz="2" w:space="0" w:color="1F3864"/>
            </w:tcBorders>
            <w:shd w:fill="F5F5F5" w:val="clear"/>
          </w:tcPr>
          <w:p>
            <w:pPr>
              <w:pStyle w:val="Normal"/>
              <w:spacing w:before="55" w:after="55"/>
              <w:jc w:val="both"/>
              <w:rPr/>
            </w:pPr>
            <w:r>
              <w:rPr>
                <w:rFonts w:eastAsia="Arial" w:cs="Arial"/>
                <w:b w:val="false"/>
                <w:bCs w:val="false"/>
                <w:color w:val="000000"/>
                <w:sz w:val="21"/>
                <w:szCs w:val="21"/>
              </w:rPr>
              <w:t>RV_factor factor mapping — (1+ΔG)/(1+ΔD): Stream 3 — Transferability drives Exchange Value into GO. (B−m)/(B+m): Stream 1 — Visibility sustains frame phases from which m is derived. D·μ/(1+λ): Stream 2 — Assurance sustains D; Stream 3 also contributes λ to the denominator. RV_factor as a whole: Stream 4 — CV_realized generates the value whose flow through all three factors constitutes RV_factor. RV_factor governs the rate of change of RV_total per step.</w:t>
            </w:r>
          </w:p>
        </w:tc>
      </w:tr>
    </w:tbl>
    <w:p>
      <w:pPr>
        <w:pStyle w:val="Normal"/>
        <w:spacing w:before="120" w:after="120"/>
        <w:rPr/>
      </w:pPr>
      <w:r>
        <w:rPr/>
      </w:r>
    </w:p>
    <w:p>
      <w:pPr>
        <w:pStyle w:val="Normal"/>
        <w:pBdr>
          <w:top w:val="single" w:sz="2" w:space="0" w:color="CCCCCC"/>
        </w:pBdr>
        <w:spacing w:before="160" w:after="30"/>
        <w:jc w:val="center"/>
        <w:rPr/>
      </w:pPr>
      <w:r>
        <w:rPr>
          <w:rFonts w:eastAsia="Arial" w:cs="Arial"/>
          <w:i/>
          <w:iCs/>
          <w:color w:val="666666"/>
          <w:sz w:val="18"/>
          <w:szCs w:val="18"/>
        </w:rPr>
        <w:t>© Otto Beseka Isong, 2026  •  Genie Capital Ltd  •  CC-BY-NC-SA</w:t>
      </w:r>
    </w:p>
    <w:p>
      <w:pPr>
        <w:pStyle w:val="Normal"/>
        <w:spacing w:before="10" w:after="40"/>
        <w:jc w:val="center"/>
        <w:rPr/>
      </w:pPr>
      <w:r>
        <w:rPr>
          <w:rFonts w:eastAsia="Arial" w:cs="Arial"/>
          <w:i/>
          <w:iCs/>
          <w:color w:val="666666"/>
          <w:sz w:val="18"/>
          <w:szCs w:val="18"/>
        </w:rPr>
        <w:t>Commitment Mathematics v5.3 — Relational Streams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3864"/>
      <w:sz w:val="32"/>
      <w:szCs w:val="32"/>
    </w:rPr>
  </w:style>
  <w:style w:type="paragraph" w:styleId="Heading2">
    <w:name w:val="Heading 2"/>
    <w:basedOn w:val="Heading"/>
    <w:qFormat/>
    <w:pPr>
      <w:spacing w:before="260" w:after="100"/>
      <w:outlineLvl w:val="1"/>
    </w:pPr>
    <w:rPr>
      <w:rFonts w:ascii="Arial" w:hAnsi="Arial" w:eastAsia="Arial" w:cs="Arial"/>
      <w:b/>
      <w:bCs/>
      <w:color w:val="1F3864"/>
      <w:sz w:val="26"/>
      <w:szCs w:val="26"/>
    </w:rPr>
  </w:style>
  <w:style w:type="paragraph" w:styleId="Heading3">
    <w:name w:val="Heading 3"/>
    <w:basedOn w:val="Heading"/>
    <w:qFormat/>
    <w:pPr>
      <w:spacing w:before="200" w:after="80"/>
      <w:outlineLvl w:val="2"/>
    </w:pPr>
    <w:rPr>
      <w:rFonts w:ascii="Arial" w:hAnsi="Arial" w:eastAsia="Arial" w:cs="Arial"/>
      <w:b/>
      <w:bCs/>
      <w:color w:val="2E509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2026-03-12T19:05:12Z</dcterms:created>
  <dc:creator>Un-named</dc:creator>
  <dc:description/>
  <dc:language>en-US</dc:language>
  <cp:lastModifiedBy>Un-named</cp:lastModifiedBy>
  <dcterms:modified xsi:type="dcterms:W3CDTF">2026-03-12T19:05:12Z</dcterms:modified>
  <cp:revision>1</cp:revision>
  <dc:subject/>
  <dc:title/>
</cp:coreProperties>
</file>