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i w:val="false"/>
          <w:iCs w:val="false"/>
          <w:sz w:val="40"/>
          <w:szCs w:val="40"/>
        </w:rPr>
        <w:t xml:space="preserve">COMMITMENT MATHEMATICS</w:t>
      </w:r>
    </w:p>
    <w:p>
      <w:pPr>
        <w:spacing w:after="160" w:before="0"/>
        <w:jc w:val="center"/>
      </w:pPr>
      <w:r>
        <w:rPr>
          <w:rFonts w:ascii="Arial" w:cs="Arial" w:eastAsia="Arial" w:hAnsi="Arial"/>
          <w:i/>
          <w:iCs/>
          <w:sz w:val="28"/>
          <w:szCs w:val="28"/>
        </w:rPr>
        <w:t xml:space="preserve">Introduction</w:t>
      </w:r>
    </w:p>
    <w:p>
      <w:pPr>
        <w:spacing w:after="80" w:before="0"/>
        <w:jc w:val="center"/>
      </w:pPr>
      <w:r>
        <w:rPr>
          <w:rFonts w:ascii="Arial" w:cs="Arial" w:eastAsia="Arial" w:hAnsi="Arial"/>
          <w:i w:val="false"/>
          <w:iCs w:val="false"/>
          <w:sz w:val="22"/>
          <w:szCs w:val="22"/>
        </w:rPr>
        <w:t xml:space="preserve">Otto Beseka Isong  •  Genie Capital Ltd  •  CC-BY-NC-SA</w:t>
      </w:r>
    </w:p>
    <w:p>
      <w:pPr>
        <w:spacing w:after="600" w:before="0"/>
        <w:jc w:val="center"/>
      </w:pPr>
      <w:r>
        <w:rPr>
          <w:rFonts w:ascii="Arial" w:cs="Arial" w:eastAsia="Arial" w:hAnsi="Arial"/>
          <w:i/>
          <w:iCs/>
          <w:sz w:val="22"/>
          <w:szCs w:val="22"/>
        </w:rPr>
        <w:t xml:space="preserve">Commitment Mathematics v5.3</w:t>
      </w:r>
    </w:p>
    <w:p>
      <w:pPr>
        <w:pBdr>
          <w:bottom w:val="single" w:color="999999" w:sz="4" w:space="1"/>
        </w:pBdr>
        <w:spacing w:after="200" w:before="200"/>
      </w:pPr>
      <w:r>
        <w:t xml:space="preserve"/>
      </w:r>
    </w:p>
    <w:p>
      <w:pPr>
        <w:spacing w:after="200" w:before="0"/>
      </w:pPr>
      <w:r>
        <w:t xml:space="preserve"/>
      </w:r>
    </w:p>
    <w:p>
      <w:pPr>
        <w:spacing w:after="160" w:before="440"/>
        <w:jc w:val="left"/>
      </w:pPr>
      <w:r>
        <w:rPr>
          <w:rFonts w:ascii="Arial" w:cs="Arial" w:eastAsia="Arial" w:hAnsi="Arial"/>
          <w:b/>
          <w:bCs/>
          <w:sz w:val="26"/>
          <w:szCs w:val="26"/>
        </w:rPr>
        <w:t xml:space="preserve">I.  The Inversion</w:t>
      </w:r>
    </w:p>
    <w:p>
      <w:pPr>
        <w:spacing w:after="200" w:before="0"/>
        <w:jc w:val="both"/>
      </w:pPr>
      <w:r>
        <w:rPr>
          <w:rFonts w:ascii="Arial" w:cs="Arial" w:eastAsia="Arial" w:hAnsi="Arial"/>
          <w:i w:val="false"/>
          <w:iCs w:val="false"/>
          <w:sz w:val="24"/>
          <w:szCs w:val="24"/>
        </w:rPr>
        <w:t xml:space="preserve">The founding assumption of Western science is that substances exist first. Entities have properties before they enter relations. A particle is constituted before it interacts. An agent has interests before it enters a contract. A resource has value before it enters exchange. Relations are secondary — what happens between things already fully formed.</w:t>
      </w:r>
    </w:p>
    <w:p>
      <w:pPr>
        <w:spacing w:after="200" w:before="0"/>
        <w:jc w:val="both"/>
      </w:pPr>
      <w:r>
        <w:rPr>
          <w:rFonts w:ascii="Arial" w:cs="Arial" w:eastAsia="Arial" w:hAnsi="Arial"/>
          <w:i w:val="false"/>
          <w:iCs w:val="false"/>
          <w:sz w:val="24"/>
          <w:szCs w:val="24"/>
        </w:rPr>
        <w:t xml:space="preserve">Commitment Mathematics begins by refusing this assumption. Not as a philosophical preference, but as a formal decision with structural consequences that propagate through everything that follows.</w:t>
      </w:r>
    </w:p>
    <w:p>
      <w:pPr>
        <w:spacing w:after="200" w:before="0"/>
        <w:jc w:val="both"/>
      </w:pPr>
      <w:r>
        <w:rPr>
          <w:rFonts w:ascii="Arial" w:cs="Arial" w:eastAsia="Arial" w:hAnsi="Arial"/>
          <w:i w:val="false"/>
          <w:iCs w:val="false"/>
          <w:sz w:val="24"/>
          <w:szCs w:val="24"/>
        </w:rPr>
        <w:t xml:space="preserve">The refusal is this: </w:t>
      </w:r>
      <w:r>
        <w:rPr>
          <w:rFonts w:ascii="Arial" w:cs="Arial" w:eastAsia="Arial" w:hAnsi="Arial"/>
          <w:b/>
          <w:bCs/>
          <w:sz w:val="24"/>
          <w:szCs w:val="24"/>
        </w:rPr>
        <w:t xml:space="preserve">relations are primary. Substance is derivative.</w:t>
      </w:r>
      <w:r>
        <w:rPr>
          <w:rFonts w:ascii="Arial" w:cs="Arial" w:eastAsia="Arial" w:hAnsi="Arial"/>
          <w:i w:val="false"/>
          <w:iCs w:val="false"/>
          <w:sz w:val="24"/>
          <w:szCs w:val="24"/>
        </w:rPr>
        <w:t xml:space="preserve"> The Liable Authority L and the Holding Entity H are not pre-existing agents who enter a commitment. They are roles constituted by the commitment itself. Remove all commitments and there is no L, no H, no agent — only the empty state graph. The commitment is not a relation between prior individuals. The individuals are functions of the commitment.</w:t>
      </w:r>
    </w:p>
    <w:p>
      <w:pPr>
        <w:spacing w:after="200" w:before="0"/>
        <w:jc w:val="both"/>
      </w:pPr>
      <w:r>
        <w:rPr>
          <w:rFonts w:ascii="Arial" w:cs="Arial" w:eastAsia="Arial" w:hAnsi="Arial"/>
          <w:i w:val="false"/>
          <w:iCs w:val="false"/>
          <w:sz w:val="24"/>
          <w:szCs w:val="24"/>
        </w:rPr>
        <w:t xml:space="preserve">This is the ontological inversion, and it has an immediate formal consequence. Under substance ontology, the natural question about a commitment is L’s question: what is owed? The answer is one-dimensional — a scalar CV₀, fixed at bilateral agreement and unchanged by anything that follows. L owes exactly CV₀ regardless of whether the content is visible, the pledge is reliable, or the value can propagate.</w:t>
      </w:r>
    </w:p>
    <w:p>
      <w:pPr>
        <w:spacing w:after="200" w:before="0"/>
        <w:jc w:val="both"/>
      </w:pPr>
      <w:r>
        <w:rPr>
          <w:rFonts w:ascii="Arial" w:cs="Arial" w:eastAsia="Arial" w:hAnsi="Arial"/>
          <w:i w:val="false"/>
          <w:iCs w:val="false"/>
          <w:sz w:val="24"/>
          <w:szCs w:val="24"/>
        </w:rPr>
        <w:t xml:space="preserve">Under relational ontology, the primary question is H’s question: </w:t>
      </w:r>
      <w:r>
        <w:rPr>
          <w:rFonts w:ascii="Arial" w:cs="Arial" w:eastAsia="Arial" w:hAnsi="Arial"/>
          <w:b/>
          <w:bCs/>
          <w:sz w:val="24"/>
          <w:szCs w:val="24"/>
        </w:rPr>
        <w:t xml:space="preserve">what can be realized?</w:t>
      </w:r>
      <w:r>
        <w:rPr>
          <w:rFonts w:ascii="Arial" w:cs="Arial" w:eastAsia="Arial" w:hAnsi="Arial"/>
          <w:i w:val="false"/>
          <w:iCs w:val="false"/>
          <w:sz w:val="24"/>
          <w:szCs w:val="24"/>
        </w:rPr>
        <w:t xml:space="preserve"> The answer is six-dimensional. The same CV₀ realizes different values depending on whether the commitment’s content is accessible (V), whether the pledge will be fulfilled (A), whether the value can propagate onward (T), whether frames are aligned (ℹ), and how deep in a derivation chain the commitment sits (d). Zero in any one of these collapses realization to zero regardless of what the others are. Value does not exist prior to the conditions of its realization. It is constituted by them.</w:t>
      </w:r>
    </w:p>
    <w:p>
      <w:pPr>
        <w:spacing w:after="200" w:before="0"/>
        <w:jc w:val="both"/>
      </w:pPr>
      <w:r>
        <w:rPr>
          <w:rFonts w:ascii="Arial" w:cs="Arial" w:eastAsia="Arial" w:hAnsi="Arial"/>
          <w:i w:val="false"/>
          <w:iCs w:val="false"/>
          <w:sz w:val="24"/>
          <w:szCs w:val="24"/>
        </w:rPr>
        <w:t xml:space="preserve">The entire architecture of Commitment Mathematics — the three Generators, the Fabric, Channels, Time, the control architecture, Infrastructure Commitments, and the two Relational Value Invariants — is the formal elaboration of H’s question. It is what is forced into existence when the claim is taken seriously that realization, not existence, is the fundamental act.</w:t>
      </w:r>
    </w:p>
    <w:p>
      <w:pPr>
        <w:spacing w:after="120" w:before="0"/>
      </w:pPr>
      <w:r>
        <w:t xml:space="preserve"/>
      </w:r>
    </w:p>
    <w:p>
      <w:pPr>
        <w:spacing w:after="200" w:before="0"/>
        <w:jc w:val="both"/>
      </w:pPr>
      <w:r>
        <w:rPr>
          <w:rFonts w:ascii="Arial" w:cs="Arial" w:eastAsia="Arial" w:hAnsi="Arial"/>
          <w:i w:val="false"/>
          <w:iCs w:val="false"/>
          <w:sz w:val="24"/>
          <w:szCs w:val="24"/>
        </w:rPr>
        <w:t xml:space="preserve">Reality, in this framework, is not pre-given. It is continuously built.</w:t>
      </w:r>
    </w:p>
    <w:p>
      <w:pPr>
        <w:spacing w:after="200" w:before="0"/>
        <w:jc w:val="both"/>
      </w:pPr>
      <w:r>
        <w:rPr>
          <w:rFonts w:ascii="Arial" w:cs="Arial" w:eastAsia="Arial" w:hAnsi="Arial"/>
          <w:i w:val="false"/>
          <w:iCs w:val="false"/>
          <w:sz w:val="24"/>
          <w:szCs w:val="24"/>
        </w:rPr>
        <w:t xml:space="preserve">Every commitment that clears the TEST evaluation and reaches EXECUTE adds realized value to the network. Every Channel built by LINK deepens the relational infrastructure through which further realization becomes possible. Every JUMP that converts generative potential into exchange value creates new structure where there was none. The two Relational Value Invariants — the Stock Invariant RVₜₒₜₐₗ and the Flow Invariant RVᶠᵃᶜᵗᵒᴿ — are the ledger of this construction: what the network has built and its current capacity to build more.</w:t>
      </w:r>
    </w:p>
    <w:p>
      <w:pPr>
        <w:spacing w:after="200" w:before="0"/>
        <w:jc w:val="both"/>
      </w:pPr>
      <w:r>
        <w:rPr>
          <w:rFonts w:ascii="Arial" w:cs="Arial" w:eastAsia="Arial" w:hAnsi="Arial"/>
          <w:i w:val="false"/>
          <w:iCs w:val="false"/>
          <w:sz w:val="24"/>
          <w:szCs w:val="24"/>
        </w:rPr>
        <w:t xml:space="preserve">The governing law is conservation. The valuation gap ΔV(C) = CV₀·[V·A·(1+T)−1] must be bridged by Compensation in exactly six dimensions or the commitment destabilizes. Compensation is not optional; it is the structural condition for relational persistence. When it is violated — when extraction replaces reciprocity — the relational fabric that makes realization possible begins to unravel. The conservation law is not a constraint imposed on the framework from outside. It is the condition under which relations remain coherent.</w:t>
      </w:r>
    </w:p>
    <w:p>
      <w:pPr>
        <w:spacing w:after="120" w:before="0"/>
      </w:pPr>
      <w:r>
        <w:t xml:space="preserve"/>
      </w:r>
    </w:p>
    <w:p>
      <w:pPr>
        <w:spacing w:after="200" w:before="0"/>
        <w:jc w:val="both"/>
      </w:pPr>
      <w:r>
        <w:rPr>
          <w:rFonts w:ascii="Arial" w:cs="Arial" w:eastAsia="Arial" w:hAnsi="Arial"/>
          <w:i w:val="false"/>
          <w:iCs w:val="false"/>
          <w:sz w:val="24"/>
          <w:szCs w:val="24"/>
        </w:rPr>
        <w:t xml:space="preserve">Within this structure, consciousness occupies a precise and necessary position. The coordinating primitive of Governance Control, MONITOR, computes the Fabric coordinates of the commitment network at every operational cycle. It exists only when Memory fidelity μ_sys ≥ 1/(2e). Below this threshold, the network cannot observe its own state, cannot detect its own degradation, and cannot trigger restoration. The self-accelerating (1−μ)² term in the Memory degradation equation means blindness compounds itself.</w:t>
      </w:r>
    </w:p>
    <w:p>
      <w:pPr>
        <w:spacing w:after="200" w:before="0"/>
        <w:jc w:val="both"/>
      </w:pPr>
      <w:r>
        <w:rPr>
          <w:rFonts w:ascii="Arial" w:cs="Arial" w:eastAsia="Arial" w:hAnsi="Arial"/>
          <w:i w:val="false"/>
          <w:iCs w:val="false"/>
          <w:sz w:val="24"/>
          <w:szCs w:val="24"/>
        </w:rPr>
        <w:t xml:space="preserve">The threshold μ_sys ≥ 1/(2e) is the structural definition of self-awareness. Above it, the network is reflexive: it can observe, regulate, and restore the conditions for its own generativity. The Generative Temporal Anti-Correlation theorem makes the role of this reflexivity precise: maximum generativity requires operational stillness and preserved Memory. These are exactly the conditions that conscious observation safeguards. The deepest act of creation requires the greatest stillness. Consciousness does not witness reality. It sustains the conditions under which reality continues to be built.</w:t>
      </w:r>
    </w:p>
    <w:p>
      <w:pPr>
        <w:spacing w:after="400" w:before="0"/>
      </w:pPr>
      <w:r>
        <w:t xml:space="preserve"/>
      </w:r>
    </w:p>
    <w:p>
      <w:pPr>
        <w:pBdr>
          <w:bottom w:val="single" w:color="999999" w:sz="4" w:space="1"/>
        </w:pBdr>
        <w:spacing w:after="200" w:before="200"/>
      </w:pPr>
      <w:r>
        <w:t xml:space="preserve"/>
      </w:r>
    </w:p>
    <w:p>
      <w:pPr>
        <w:spacing w:after="160" w:before="440"/>
        <w:jc w:val="left"/>
      </w:pPr>
      <w:r>
        <w:rPr>
          <w:rFonts w:ascii="Arial" w:cs="Arial" w:eastAsia="Arial" w:hAnsi="Arial"/>
          <w:b/>
          <w:bCs/>
          <w:sz w:val="26"/>
          <w:szCs w:val="26"/>
        </w:rPr>
        <w:t xml:space="preserve">II.  Mathematical Properties</w:t>
      </w:r>
    </w:p>
    <w:p>
      <w:pPr>
        <w:spacing w:after="200" w:before="0"/>
        <w:jc w:val="both"/>
      </w:pPr>
      <w:r>
        <w:rPr>
          <w:rFonts w:ascii="Arial" w:cs="Arial" w:eastAsia="Arial" w:hAnsi="Arial"/>
          <w:i w:val="false"/>
          <w:iCs w:val="false"/>
          <w:sz w:val="24"/>
          <w:szCs w:val="24"/>
        </w:rPr>
        <w:t xml:space="preserve">Commitment Mathematics is a formal system with a specific and identifiable set of mathematical properties. Each property is not adopted by analogy from another field; each is derived from the structure of the primitive C = (L, H, P, CV₀) and the conservation law. The properties are listed below with their formal definitions and their location in the framework.</w:t>
      </w:r>
    </w:p>
    <w:p>
      <w:pPr>
        <w:spacing w:after="80" w:before="280"/>
        <w:jc w:val="left"/>
      </w:pPr>
      <w:r>
        <w:rPr>
          <w:rFonts w:ascii="Arial" w:cs="Arial" w:eastAsia="Arial" w:hAnsi="Arial"/>
          <w:b/>
          <w:bCs/>
          <w:sz w:val="24"/>
          <w:szCs w:val="24"/>
        </w:rPr>
        <w:t xml:space="preserve">1.  Relational</w:t>
      </w:r>
      <w:r>
        <w:rPr>
          <w:rFonts w:ascii="Arial" w:cs="Arial" w:eastAsia="Arial" w:hAnsi="Arial"/>
          <w:sz w:val="24"/>
          <w:szCs w:val="24"/>
        </w:rPr>
        <w:t xml:space="preserve">  —  </w:t>
      </w:r>
      <w:r>
        <w:rPr>
          <w:rFonts w:ascii="Arial" w:cs="Arial" w:eastAsia="Arial" w:hAnsi="Arial"/>
          <w:i/>
          <w:iCs/>
          <w:sz w:val="24"/>
          <w:szCs w:val="24"/>
        </w:rPr>
        <w:t xml:space="preserve">the primitive is a relation, not an entity</w:t>
      </w:r>
    </w:p>
    <w:p>
      <w:pPr>
        <w:spacing w:after="160" w:before="0"/>
        <w:ind w:left="360"/>
        <w:jc w:val="both"/>
      </w:pPr>
      <w:r>
        <w:rPr>
          <w:rFonts w:ascii="Arial" w:cs="Arial" w:eastAsia="Arial" w:hAnsi="Arial"/>
          <w:sz w:val="24"/>
          <w:szCs w:val="24"/>
        </w:rPr>
        <w:t xml:space="preserve">The sole primitive is the commitment C = (L, H, P, CV₀). L and H are roles constituted by the relation between them, not prior entities who enter it. This is not the relational property of a theory that describes relations between substances; it is the stronger claim that no substance exists independently of the relational structure. Every quantity in the framework — the anchor parameters V, A, T, the Fabric coordinates D, μ, λ, the Relational Value Invariants — is defined over and computable from the commitment network. None is defined for an isolated entity.</w:t>
      </w:r>
    </w:p>
    <w:p>
      <w:pPr>
        <w:spacing w:after="160" w:before="0"/>
        <w:ind w:left="360"/>
        <w:jc w:val="both"/>
      </w:pPr>
      <w:r>
        <w:rPr>
          <w:rFonts w:ascii="Arial" w:cs="Arial" w:eastAsia="Arial" w:hAnsi="Arial"/>
          <w:sz w:val="24"/>
          <w:szCs w:val="24"/>
        </w:rPr>
        <w:t xml:space="preserve">The formal expression is the canonical realized value:</w:t>
      </w:r>
    </w:p>
    <w:p>
      <w:pPr>
        <w:spacing w:after="120" w:before="120"/>
        <w:jc w:val="center"/>
      </w:pPr>
      <w:r>
        <w:rPr>
          <w:rFonts w:ascii="Arial" w:cs="Arial" w:eastAsia="Arial" w:hAnsi="Arial"/>
          <w:i/>
          <w:iCs/>
          <w:sz w:val="24"/>
          <w:szCs w:val="24"/>
        </w:rPr>
        <w:t xml:space="preserve">CVᴿᵉᵃᴸᴸᴿᵉᵈ = CV₀ · V · A · (1+T) · max(0,ℹ) · e^(−k·d)</w:t>
      </w:r>
    </w:p>
    <w:p>
      <w:pPr>
        <w:spacing w:after="160" w:before="0"/>
        <w:ind w:left="360"/>
        <w:jc w:val="both"/>
      </w:pPr>
      <w:r>
        <w:rPr>
          <w:rFonts w:ascii="Arial" w:cs="Arial" w:eastAsia="Arial" w:hAnsi="Arial"/>
          <w:sz w:val="24"/>
          <w:szCs w:val="24"/>
        </w:rPr>
        <w:t xml:space="preserve">Every factor is a relational quantity. V is defined by accessibility to H. A is defined by the reliability of L’s pledge. T is defined by the capacity to propagate to other commitments. ℹ is defined by the phase alignment between two frames. d is defined by position in the dependency graph. Zero in any factor collapses CVᴿᵉᵃᴸᴸᴿᵉᵈ to zero — relational insufficiency in any dimension eliminates realization entirely.</w:t>
      </w:r>
    </w:p>
    <w:p>
      <w:pPr>
        <w:spacing w:after="80" w:before="280"/>
        <w:jc w:val="left"/>
      </w:pPr>
      <w:r>
        <w:rPr>
          <w:rFonts w:ascii="Arial" w:cs="Arial" w:eastAsia="Arial" w:hAnsi="Arial"/>
          <w:b/>
          <w:bCs/>
          <w:sz w:val="24"/>
          <w:szCs w:val="24"/>
        </w:rPr>
        <w:t xml:space="preserve">2.  Atemporal</w:t>
      </w:r>
      <w:r>
        <w:rPr>
          <w:rFonts w:ascii="Arial" w:cs="Arial" w:eastAsia="Arial" w:hAnsi="Arial"/>
          <w:sz w:val="24"/>
          <w:szCs w:val="24"/>
        </w:rPr>
        <w:t xml:space="preserve">  —  </w:t>
      </w:r>
      <w:r>
        <w:rPr>
          <w:rFonts w:ascii="Arial" w:cs="Arial" w:eastAsia="Arial" w:hAnsi="Arial"/>
          <w:i/>
          <w:iCs/>
          <w:sz w:val="24"/>
          <w:szCs w:val="24"/>
        </w:rPr>
        <w:t xml:space="preserve">the state graph carries no intrinsic time parameter</w:t>
      </w:r>
    </w:p>
    <w:p>
      <w:pPr>
        <w:spacing w:after="160" w:before="0"/>
        <w:ind w:left="360"/>
        <w:jc w:val="both"/>
      </w:pPr>
      <w:r>
        <w:rPr>
          <w:rFonts w:ascii="Arial" w:cs="Arial" w:eastAsia="Arial" w:hAnsi="Arial"/>
          <w:sz w:val="24"/>
          <w:szCs w:val="24"/>
        </w:rPr>
        <w:t xml:space="preserve">The state graph G = (S, E) encoding all commitment states is atemporal by construction. Operations are edges in the state graph; they are not events in time. They execute when their conditions are satisfied, not when a clock permits. There is no background time parameter against which operations are ordered. Temporal structure is not imposed on the framework; it emerges from the framework’s dynamics.</w:t>
      </w:r>
    </w:p>
    <w:p>
      <w:pPr>
        <w:spacing w:after="160" w:before="0"/>
        <w:ind w:left="360"/>
        <w:jc w:val="both"/>
      </w:pPr>
      <w:r>
        <w:rPr>
          <w:rFonts w:ascii="Arial" w:cs="Arial" w:eastAsia="Arial" w:hAnsi="Arial"/>
          <w:sz w:val="24"/>
          <w:szCs w:val="24"/>
        </w:rPr>
        <w:t xml:space="preserve">Time emerges as a five-dimensional manifold from five irreducible and independent modes of change in the Fabric: T₁ (Operational) from Pulse-driven cycle counts; T₂ (Mnemonic) from Memory degradation T₂ = −lnμ; T₃ (Relational) from phase evolution Θ = (1/2π)Σₖ Wₖθₖ; T₄ (Economic) from cumulative compensation flow; and T₅ (Generative) from the integral of generativity G_vt = G_S·D·μ/(1+λ) over topological operations. Time is a consequence of commitment dynamics, not their container.</w:t>
      </w:r>
    </w:p>
    <w:p>
      <w:pPr>
        <w:spacing w:after="160" w:before="0"/>
        <w:ind w:left="360"/>
        <w:jc w:val="both"/>
      </w:pPr>
      <w:r>
        <w:rPr>
          <w:rFonts w:ascii="Arial" w:cs="Arial" w:eastAsia="Arial" w:hAnsi="Arial"/>
          <w:sz w:val="24"/>
          <w:szCs w:val="24"/>
        </w:rPr>
        <w:t xml:space="preserve">The Defensive Memory vertex (D=1, μ=1, λ=0) is the unique state in which all five time dimensions are simultaneously frozen — the temporal ground state from which time emerges when Pulse breaks the stillness.</w:t>
      </w:r>
    </w:p>
    <w:p>
      <w:pPr>
        <w:spacing w:after="80" w:before="280"/>
        <w:jc w:val="left"/>
      </w:pPr>
      <w:r>
        <w:rPr>
          <w:rFonts w:ascii="Arial" w:cs="Arial" w:eastAsia="Arial" w:hAnsi="Arial"/>
          <w:b/>
          <w:bCs/>
          <w:sz w:val="24"/>
          <w:szCs w:val="24"/>
        </w:rPr>
        <w:t xml:space="preserve">3.  Discrete</w:t>
      </w:r>
      <w:r>
        <w:rPr>
          <w:rFonts w:ascii="Arial" w:cs="Arial" w:eastAsia="Arial" w:hAnsi="Arial"/>
          <w:sz w:val="24"/>
          <w:szCs w:val="24"/>
        </w:rPr>
        <w:t xml:space="preserve">  —  </w:t>
      </w:r>
      <w:r>
        <w:rPr>
          <w:rFonts w:ascii="Arial" w:cs="Arial" w:eastAsia="Arial" w:hAnsi="Arial"/>
          <w:i/>
          <w:iCs/>
          <w:sz w:val="24"/>
          <w:szCs w:val="24"/>
        </w:rPr>
        <w:t xml:space="preserve">operations and verdicts are irreducibly discrete</w:t>
      </w:r>
    </w:p>
    <w:p>
      <w:pPr>
        <w:spacing w:after="160" w:before="0"/>
        <w:ind w:left="360"/>
        <w:jc w:val="both"/>
      </w:pPr>
      <w:r>
        <w:rPr>
          <w:rFonts w:ascii="Arial" w:cs="Arial" w:eastAsia="Arial" w:hAnsi="Arial"/>
          <w:sz w:val="24"/>
          <w:szCs w:val="24"/>
        </w:rPr>
        <w:t xml:space="preserve">The ternary intersection function ℹ(Fᵢ, Fⱼ) ∈ {−1, 0, +1} is the discretization of the continuous phase difference cos(Δθ) performed by TEST. There are exactly three verdicts: TRUE (+1), INCONCLUSIVE (0), and FALSE (−1). There are no fractional states. This discreteness is not a modelling approximation; it is structurally necessary because INCONCLUSIVE and FALSE are not the same condition and require structurally distinct responses. INCONCLUSIVE triggers NEGOTIATE; FALSE triggers HEAL or VIOLATE. Collapsing to binary would eliminate NEGOTIATE as a structural category.</w:t>
      </w:r>
    </w:p>
    <w:p>
      <w:pPr>
        <w:spacing w:after="160" w:before="0"/>
        <w:ind w:left="360"/>
        <w:jc w:val="both"/>
      </w:pPr>
      <w:r>
        <w:rPr>
          <w:rFonts w:ascii="Arial" w:cs="Arial" w:eastAsia="Arial" w:hAnsi="Arial"/>
          <w:sz w:val="24"/>
          <w:szCs w:val="24"/>
        </w:rPr>
        <w:t xml:space="preserve">OPEN (OPN) fires one discrete flow event per TEST evaluation, then returns the Channel gate to CLOSED. The discreteness of OPN is a structural consequence of TEST: one evaluation, one verdict, one flow event. JUMP (JMP) is a discrete qualitative transition — all-or-nothing, with no partial realization and no inverse. The compensation dimensions are discrete: exactly six, structured as 3 anchor parameters × 2 temporal horizons, with no fractional dimensions permitted.</w:t>
      </w:r>
    </w:p>
    <w:p>
      <w:pPr>
        <w:spacing w:after="160" w:before="0"/>
        <w:ind w:left="360"/>
        <w:jc w:val="both"/>
      </w:pPr>
      <w:r>
        <w:rPr>
          <w:rFonts w:ascii="Arial" w:cs="Arial" w:eastAsia="Arial" w:hAnsi="Arial"/>
          <w:sz w:val="24"/>
          <w:szCs w:val="24"/>
        </w:rPr>
        <w:t xml:space="preserve">The interaction mode thresholds e⁻³, e⁻², e⁻¹, 1−e⁻¹ are sharp. A commitment pair at Rᴰ = 0.0499 has a different operation permission structure from a pair at Rᴰ = 0.0501. The transitions between modes are discontinuous.</w:t>
      </w:r>
    </w:p>
    <w:p>
      <w:pPr>
        <w:spacing w:after="80" w:before="280"/>
        <w:jc w:val="left"/>
      </w:pPr>
      <w:r>
        <w:rPr>
          <w:rFonts w:ascii="Arial" w:cs="Arial" w:eastAsia="Arial" w:hAnsi="Arial"/>
          <w:b/>
          <w:bCs/>
          <w:sz w:val="24"/>
          <w:szCs w:val="24"/>
        </w:rPr>
        <w:t xml:space="preserve">4.  Scale-Invariant</w:t>
      </w:r>
      <w:r>
        <w:rPr>
          <w:rFonts w:ascii="Arial" w:cs="Arial" w:eastAsia="Arial" w:hAnsi="Arial"/>
          <w:sz w:val="24"/>
          <w:szCs w:val="24"/>
        </w:rPr>
        <w:t xml:space="preserve">  —  </w:t>
      </w:r>
      <w:r>
        <w:rPr>
          <w:rFonts w:ascii="Arial" w:cs="Arial" w:eastAsia="Arial" w:hAnsi="Arial"/>
          <w:i/>
          <w:iCs/>
          <w:sz w:val="24"/>
          <w:szCs w:val="24"/>
        </w:rPr>
        <w:t xml:space="preserve">Memory is dimensionally invariant across nested Fabrics</w:t>
      </w:r>
    </w:p>
    <w:p>
      <w:pPr>
        <w:spacing w:after="160" w:before="0"/>
        <w:ind w:left="360"/>
        <w:jc w:val="both"/>
      </w:pPr>
      <w:r>
        <w:rPr>
          <w:rFonts w:ascii="Arial" w:cs="Arial" w:eastAsia="Arial" w:hAnsi="Arial"/>
          <w:sz w:val="24"/>
          <w:szCs w:val="24"/>
        </w:rPr>
        <w:t xml:space="preserve">Commitment networks nest: local Fabrics are generated by sub-networks of commitments and sit within the Fabrics of larger networks. At scale n, Defense weakens exponentially (Dⁿ = D₀·e^(−γn)) and Pulse amplifies exponentially (λⁿ = λ₀·e^(χn)), but Memory maintains dimensional invariance across all scales (μⁿ = μ₀). Memory does not change character when the observation scale changes.</w:t>
      </w:r>
    </w:p>
    <w:p>
      <w:pPr>
        <w:spacing w:after="160" w:before="0"/>
        <w:ind w:left="360"/>
        <w:jc w:val="both"/>
      </w:pPr>
      <w:r>
        <w:rPr>
          <w:rFonts w:ascii="Arial" w:cs="Arial" w:eastAsia="Arial" w:hAnsi="Arial"/>
          <w:sz w:val="24"/>
          <w:szCs w:val="24"/>
        </w:rPr>
        <w:t xml:space="preserve">This scale invariance of Memory is what makes it the universal currency across nested Fabrics. Memory degradation cascades upward through coherence terms: Δμⁿ⁺¹ = −k_μ Σ_{j ∈ scale n} (1−μ_j)·‖Φ_{j,n+1}‖. Strong coupling amplifies local Memory damage at the global level immediately. Stability does not propagate upward in the same way. Damage is viral; stability is not.</w:t>
      </w:r>
    </w:p>
    <w:p>
      <w:pPr>
        <w:spacing w:after="160" w:before="0"/>
        <w:ind w:left="360"/>
        <w:jc w:val="both"/>
      </w:pPr>
      <w:r>
        <w:rPr>
          <w:rFonts w:ascii="Arial" w:cs="Arial" w:eastAsia="Arial" w:hAnsi="Arial"/>
          <w:sz w:val="24"/>
          <w:szCs w:val="24"/>
        </w:rPr>
        <w:t xml:space="preserve">The constant ln 2 is scale-invariant throughout: it governs dependency depth decay e^(−k·d), Memory degradation, violation damage, Channel costs, and DERIVE creation costs at every scale without re-parameterization. This recurrence is the formal signature of one principle operating at every structural level simultaneously.</w:t>
      </w:r>
    </w:p>
    <w:p>
      <w:pPr>
        <w:spacing w:after="80" w:before="280"/>
        <w:jc w:val="left"/>
      </w:pPr>
      <w:r>
        <w:rPr>
          <w:rFonts w:ascii="Arial" w:cs="Arial" w:eastAsia="Arial" w:hAnsi="Arial"/>
          <w:b/>
          <w:bCs/>
          <w:sz w:val="24"/>
          <w:szCs w:val="24"/>
        </w:rPr>
        <w:t xml:space="preserve">5.  Computational</w:t>
      </w:r>
      <w:r>
        <w:rPr>
          <w:rFonts w:ascii="Arial" w:cs="Arial" w:eastAsia="Arial" w:hAnsi="Arial"/>
          <w:sz w:val="24"/>
          <w:szCs w:val="24"/>
        </w:rPr>
        <w:t xml:space="preserve">  —  </w:t>
      </w:r>
      <w:r>
        <w:rPr>
          <w:rFonts w:ascii="Arial" w:cs="Arial" w:eastAsia="Arial" w:hAnsi="Arial"/>
          <w:i/>
          <w:iCs/>
          <w:sz w:val="24"/>
          <w:szCs w:val="24"/>
        </w:rPr>
        <w:t xml:space="preserve">the framework defines a complete computational architecture</w:t>
      </w:r>
    </w:p>
    <w:p>
      <w:pPr>
        <w:spacing w:after="160" w:before="0"/>
        <w:ind w:left="360"/>
        <w:jc w:val="both"/>
      </w:pPr>
      <w:r>
        <w:rPr>
          <w:rFonts w:ascii="Arial" w:cs="Arial" w:eastAsia="Arial" w:hAnsi="Arial"/>
          <w:sz w:val="24"/>
          <w:szCs w:val="24"/>
        </w:rPr>
        <w:t xml:space="preserve">The eleven base operations {CRT, DRV, ANL, JMP, MRG, SPL, FLP, LNK, ROT, INC, OPN} constitute a complete operation algebra: any transformation on the commitment network can be expressed as a composition of these eleven operations. No operation can be expressed as a composition of the others without loss of at least one essential property. The operation hierarchy CRT/ANL &gt; JMP &gt; FLP/LNK &gt; ROT &gt; INC is a priority ordering: higher-level operations overwrite lower-level operations when they conflict.</w:t>
      </w:r>
    </w:p>
    <w:p>
      <w:pPr>
        <w:spacing w:after="160" w:before="0"/>
        <w:ind w:left="360"/>
        <w:jc w:val="both"/>
      </w:pPr>
      <w:r>
        <w:rPr>
          <w:rFonts w:ascii="Arial" w:cs="Arial" w:eastAsia="Arial" w:hAnsi="Arial"/>
          <w:sz w:val="24"/>
          <w:szCs w:val="24"/>
        </w:rPr>
        <w:t xml:space="preserve">The thirteen control primitives — TEST, NEGOTIATE, EXECUTE, VIOLATE, OFFER (Generative); MONITOR, SCRIBE, SECURE, MODULATE (Governance); HEAL, HANDLE, REPAIR, IMPOSE (Restorative) — constitute a complete computational control architecture. Every operation proposal passes through a conjunctive gate: TEST evaluates relational and structural conditions; MONITOR evaluates Fabric resource availability. Both must confirm before EXECUTE fires. The combined gate is the basic unit of authorized computation in the framework.</w:t>
      </w:r>
    </w:p>
    <w:p>
      <w:pPr>
        <w:spacing w:after="160" w:before="0"/>
        <w:ind w:left="360"/>
        <w:jc w:val="both"/>
      </w:pPr>
      <w:r>
        <w:rPr>
          <w:rFonts w:ascii="Arial" w:cs="Arial" w:eastAsia="Arial" w:hAnsi="Arial"/>
          <w:sz w:val="24"/>
          <w:szCs w:val="24"/>
        </w:rPr>
        <w:t xml:space="preserve">The P ≠ NP distinction is a structural consequence of this computational architecture. Classical computation proceeds through INC and ROT operations. NP-complete problems require JUMP — a qualitative transition with four conjunctive conditions that no composition of INC and ROT can satisfy without exponential accumulated cost. Verification is TEST (one evaluation, polynomial); construction requires JUMP. The two classes are not different difficulty levels; they are different operation classes.</w:t>
      </w:r>
    </w:p>
    <w:p>
      <w:pPr>
        <w:spacing w:after="80" w:before="280"/>
        <w:jc w:val="left"/>
      </w:pPr>
      <w:r>
        <w:rPr>
          <w:rFonts w:ascii="Arial" w:cs="Arial" w:eastAsia="Arial" w:hAnsi="Arial"/>
          <w:b/>
          <w:bCs/>
          <w:sz w:val="24"/>
          <w:szCs w:val="24"/>
        </w:rPr>
        <w:t xml:space="preserve">6.  Navigational</w:t>
      </w:r>
      <w:r>
        <w:rPr>
          <w:rFonts w:ascii="Arial" w:cs="Arial" w:eastAsia="Arial" w:hAnsi="Arial"/>
          <w:sz w:val="24"/>
          <w:szCs w:val="24"/>
        </w:rPr>
        <w:t xml:space="preserve">  —  </w:t>
      </w:r>
      <w:r>
        <w:rPr>
          <w:rFonts w:ascii="Arial" w:cs="Arial" w:eastAsia="Arial" w:hAnsi="Arial"/>
          <w:i/>
          <w:iCs/>
          <w:sz w:val="24"/>
          <w:szCs w:val="24"/>
        </w:rPr>
        <w:t xml:space="preserve">operations are edges in a state graph; paths are traversals through a fixed geometry</w:t>
      </w:r>
    </w:p>
    <w:p>
      <w:pPr>
        <w:spacing w:after="160" w:before="0"/>
        <w:ind w:left="360"/>
        <w:jc w:val="both"/>
      </w:pPr>
      <w:r>
        <w:rPr>
          <w:rFonts w:ascii="Arial" w:cs="Arial" w:eastAsia="Arial" w:hAnsi="Arial"/>
          <w:sz w:val="24"/>
          <w:szCs w:val="24"/>
        </w:rPr>
        <w:t xml:space="preserve">The state graph G = (S, E) is a fixed geometric space. Commitment operations traverse edges; they do not move through time. The framework is atemporal, but it is not static: paths trace through the state graph, ordered by traversal step n. Different operation sequences between the same two states produce different paths — and because the bundle has curvature, they may produce different Fabric trajectories.</w:t>
      </w:r>
    </w:p>
    <w:p>
      <w:pPr>
        <w:spacing w:after="160" w:before="0"/>
        <w:ind w:left="360"/>
        <w:jc w:val="both"/>
      </w:pPr>
      <w:r>
        <w:rPr>
          <w:rFonts w:ascii="Arial" w:cs="Arial" w:eastAsia="Arial" w:hAnsi="Arial"/>
          <w:sz w:val="24"/>
          <w:szCs w:val="24"/>
        </w:rPr>
        <w:t xml:space="preserve">The Relational Value Invariant RVₜₒₜₐₗ is path-invariant: for any trajectory Π = (S₀, OP₁, S₁, …, S_n), the conserved quantity at S_n equals its value at S₀. This path-invariance holds despite the bundle having non-zero curvature: RVₜₒₜₐₗ is a conserved quantity under parallel transport. The navigational structure of the framework means that the question ‘which operations, in which sequence?’ determines the Fabric trajectory taken, even when the conserved quantities are unchanged.</w:t>
      </w:r>
    </w:p>
    <w:p>
      <w:pPr>
        <w:spacing w:after="160" w:before="0"/>
        <w:ind w:left="360"/>
        <w:jc w:val="both"/>
      </w:pPr>
      <w:r>
        <w:rPr>
          <w:rFonts w:ascii="Arial" w:cs="Arial" w:eastAsia="Arial" w:hAnsi="Arial"/>
          <w:sz w:val="24"/>
          <w:szCs w:val="24"/>
        </w:rPr>
        <w:t xml:space="preserve">The interaction mode thresholds define navigational constraints: specific operations are only accessible from specific regions of the state graph. LINK requires Rᴰ &lt; e⁻¹; JUMP requires Rᴰ &lt; e⁻³. Navigating toward a target operation requires first navigating Rᴰ into the mode that permits it. The state graph is therefore not flat: it has regions of different operational accessibility, and the available paths depend on current position.</w:t>
      </w:r>
    </w:p>
    <w:p>
      <w:pPr>
        <w:spacing w:after="80" w:before="280"/>
        <w:jc w:val="left"/>
      </w:pPr>
      <w:r>
        <w:rPr>
          <w:rFonts w:ascii="Arial" w:cs="Arial" w:eastAsia="Arial" w:hAnsi="Arial"/>
          <w:b/>
          <w:bCs/>
          <w:sz w:val="24"/>
          <w:szCs w:val="24"/>
        </w:rPr>
        <w:t xml:space="preserve">7.  Geometric</w:t>
      </w:r>
      <w:r>
        <w:rPr>
          <w:rFonts w:ascii="Arial" w:cs="Arial" w:eastAsia="Arial" w:hAnsi="Arial"/>
          <w:sz w:val="24"/>
          <w:szCs w:val="24"/>
        </w:rPr>
        <w:t xml:space="preserve">  —  </w:t>
      </w:r>
      <w:r>
        <w:rPr>
          <w:rFonts w:ascii="Arial" w:cs="Arial" w:eastAsia="Arial" w:hAnsi="Arial"/>
          <w:i/>
          <w:iCs/>
          <w:sz w:val="24"/>
          <w:szCs w:val="24"/>
        </w:rPr>
        <w:t xml:space="preserve">the Fabric is a unit cube with metric structure and interaction modes</w:t>
      </w:r>
    </w:p>
    <w:p>
      <w:pPr>
        <w:spacing w:after="160" w:before="0"/>
        <w:ind w:left="360"/>
        <w:jc w:val="both"/>
      </w:pPr>
      <w:r>
        <w:rPr>
          <w:rFonts w:ascii="Arial" w:cs="Arial" w:eastAsia="Arial" w:hAnsi="Arial"/>
          <w:sz w:val="24"/>
          <w:szCs w:val="24"/>
        </w:rPr>
        <w:t xml:space="preserve">The Fabric ℱ = [0,1]³ is a geometric space with coordinates D (Defense), μ (Memory), and λ (Pulse). Every commitment network occupies a position in this space, determined by the aggregate of its per-commitment Fabric coordinates. The eight vertices of the cube are the pure states — configurations where each coordinate is at its extreme. The Defensive Memory vertex (D=1, μ=1, λ=0) is the unique permanently stable vertex and the attractor toward which all sustainable systems move.</w:t>
      </w:r>
    </w:p>
    <w:p>
      <w:pPr>
        <w:spacing w:after="160" w:before="0"/>
        <w:ind w:left="360"/>
        <w:jc w:val="both"/>
      </w:pPr>
      <w:r>
        <w:rPr>
          <w:rFonts w:ascii="Arial" w:cs="Arial" w:eastAsia="Arial" w:hAnsi="Arial"/>
          <w:sz w:val="24"/>
          <w:szCs w:val="24"/>
        </w:rPr>
        <w:t xml:space="preserve">The Fabric Integrity formula D·μ/(1+λ) is the geometric measure of the Fabric’s current capacity. It is maximized at Defensive Memory (= 1) and collapses to zero whenever D or μ is zero. The position of λ in the denominator is the central geometric result: Pulse reduces Fabric Integrity — it does not increase it.</w:t>
      </w:r>
    </w:p>
    <w:p>
      <w:pPr>
        <w:spacing w:after="160" w:before="0"/>
        <w:ind w:left="360"/>
        <w:jc w:val="both"/>
      </w:pPr>
      <w:r>
        <w:rPr>
          <w:rFonts w:ascii="Arial" w:cs="Arial" w:eastAsia="Arial" w:hAnsi="Arial"/>
          <w:sz w:val="24"/>
          <w:szCs w:val="24"/>
        </w:rPr>
        <w:t xml:space="preserve">Relational distance Rᴰ(i,j) = (1/π)·arccos(cos(θᵢ−θⱼ)) ∈ [0,1] is the normalized phase difference between two commitment frames. It is the unique normalization that is symmetric, bounded in [0,1], and maps perfect alignment to 0 and complete opposition to 1. The compensation efficiency function Eff(Rᴰ) = e^(−c·Rᴰ) where c = ln 10 stratifies the geometric space into interaction modes at integer-power thresholds, producing the mode boundaries at e⁻¹, e⁻², e⁻³, and 1−e⁻¹ as geometric features of the Fabric, not free parameters.</w:t>
      </w:r>
    </w:p>
    <w:p>
      <w:pPr>
        <w:spacing w:after="160" w:before="0"/>
        <w:ind w:left="360"/>
        <w:jc w:val="both"/>
      </w:pPr>
      <w:r>
        <w:rPr>
          <w:rFonts w:ascii="Arial" w:cs="Arial" w:eastAsia="Arial" w:hAnsi="Arial"/>
          <w:sz w:val="24"/>
          <w:szCs w:val="24"/>
        </w:rPr>
        <w:t xml:space="preserve">The five-dimensional Time metric tensor gᵢⱼ is derived entirely from Fabric geometry. The two negative off-diagonal entries — g₁₅ = −D·μ/(1+λ)² and g₂₅ = −D/(1+λ) — are the only negative entries. They express the Generative Temporal Anti-Correlation theorem geometrically: T₁ and T₅ are anti-correlated; T₂ and T₅ are anti-correlated. Maximum generativity requires the path of minimum operational and mnemonic advance.</w:t>
      </w:r>
    </w:p>
    <w:p>
      <w:pPr>
        <w:spacing w:after="80" w:before="280"/>
        <w:jc w:val="left"/>
      </w:pPr>
      <w:r>
        <w:rPr>
          <w:rFonts w:ascii="Arial" w:cs="Arial" w:eastAsia="Arial" w:hAnsi="Arial"/>
          <w:b/>
          <w:bCs/>
          <w:sz w:val="24"/>
          <w:szCs w:val="24"/>
        </w:rPr>
        <w:t xml:space="preserve">8.  Topological</w:t>
      </w:r>
      <w:r>
        <w:rPr>
          <w:rFonts w:ascii="Arial" w:cs="Arial" w:eastAsia="Arial" w:hAnsi="Arial"/>
          <w:sz w:val="24"/>
          <w:szCs w:val="24"/>
        </w:rPr>
        <w:t xml:space="preserve">  —  </w:t>
      </w:r>
      <w:r>
        <w:rPr>
          <w:rFonts w:ascii="Arial" w:cs="Arial" w:eastAsia="Arial" w:hAnsi="Arial"/>
          <w:i/>
          <w:iCs/>
          <w:sz w:val="24"/>
          <w:szCs w:val="24"/>
        </w:rPr>
        <w:t xml:space="preserve">the Fabric is a fiber bundle with connections, curvature, and a distinguished symmetry manifold</w:t>
      </w:r>
    </w:p>
    <w:p>
      <w:pPr>
        <w:spacing w:after="160" w:before="0"/>
        <w:ind w:left="360"/>
        <w:jc w:val="both"/>
      </w:pPr>
      <w:r>
        <w:rPr>
          <w:rFonts w:ascii="Arial" w:cs="Arial" w:eastAsia="Arial" w:hAnsi="Arial"/>
          <w:sz w:val="24"/>
          <w:szCs w:val="24"/>
        </w:rPr>
        <w:t xml:space="preserve">The Fabric has a precise topological structure as a fiber bundle π: E → B. The base space B is the dependency graph G of the commitment network. The fiber F = [0,1]³ is one copy of the Fabric cube at each commitment vertex. The eleven base operations define connections on the bundle — rules for parallel transport of Fabric states along network edges. Curvature measures path dependence: different operation sequences between the same two states yield different Fabric trajectories. The path-invariance of RVₜₒₜₐₗ holds because it is a conserved quantity under parallel transport, not because the bundle is flat.</w:t>
      </w:r>
    </w:p>
    <w:p>
      <w:pPr>
        <w:spacing w:after="160" w:before="0"/>
        <w:ind w:left="360"/>
        <w:jc w:val="both"/>
      </w:pPr>
      <w:r>
        <w:rPr>
          <w:rFonts w:ascii="Arial" w:cs="Arial" w:eastAsia="Arial" w:hAnsi="Arial"/>
          <w:sz w:val="24"/>
          <w:szCs w:val="24"/>
        </w:rPr>
        <w:t xml:space="preserve">The μ=0 manifold ℳ = {(D, 0, λ) | D, λ ∈ [0,1]} is a topologically distinguished two-dimensional face of the Fabric cube. On ℳ, no MONITOR exists, no phase-coherent pairs can form, and V = 0 holds constitutionally. Any commitment for which any one of the five visibility sub-components is zero is structurally located on ℳ. The three phases of the dark sector — black holes (D=1, λ=1), dark matter (D≈0.3, λ≈0), and dark energy (D≈0, λ&gt;0) — are distinguished positions on ℳ, unified in a single topological account.</w:t>
      </w:r>
    </w:p>
    <w:p>
      <w:pPr>
        <w:spacing w:after="160" w:before="0"/>
        <w:ind w:left="360"/>
        <w:jc w:val="both"/>
      </w:pPr>
      <w:r>
        <w:rPr>
          <w:rFonts w:ascii="Arial" w:cs="Arial" w:eastAsia="Arial" w:hAnsi="Arial"/>
          <w:sz w:val="24"/>
          <w:szCs w:val="24"/>
        </w:rPr>
        <w:t xml:space="preserve">Channel topology can form directed cycles in the extended graph (derivation edges ∪ active Channels). Cycle stability requires the cycle gain |G_γ| = ∏_e α(e)·e^(iΔθ_e) &lt; 1 for every directed cycle γ. When |G_γ| &gt; 1, a doom loop forms: perturbations amplify with each traversal. Because α(e) incorporates Channel capacity σᵢⱼ linearly, reducing capacity on any single cycle edge directly reduces |G_γ|. This is the primary topological intervention available to HEAL through IMPOSE.</w:t>
      </w:r>
    </w:p>
    <w:p>
      <w:pPr>
        <w:spacing w:after="80" w:before="280"/>
        <w:jc w:val="left"/>
      </w:pPr>
      <w:r>
        <w:rPr>
          <w:rFonts w:ascii="Arial" w:cs="Arial" w:eastAsia="Arial" w:hAnsi="Arial"/>
          <w:b/>
          <w:bCs/>
          <w:sz w:val="24"/>
          <w:szCs w:val="24"/>
        </w:rPr>
        <w:t xml:space="preserve">9.  Holographic</w:t>
      </w:r>
      <w:r>
        <w:rPr>
          <w:rFonts w:ascii="Arial" w:cs="Arial" w:eastAsia="Arial" w:hAnsi="Arial"/>
          <w:sz w:val="24"/>
          <w:szCs w:val="24"/>
        </w:rPr>
        <w:t xml:space="preserve">  —  </w:t>
      </w:r>
      <w:r>
        <w:rPr>
          <w:rFonts w:ascii="Arial" w:cs="Arial" w:eastAsia="Arial" w:hAnsi="Arial"/>
          <w:i/>
          <w:iCs/>
          <w:sz w:val="24"/>
          <w:szCs w:val="24"/>
        </w:rPr>
        <w:t xml:space="preserve">information capacity scales with boundary area, not volume or depth</w:t>
      </w:r>
    </w:p>
    <w:p>
      <w:pPr>
        <w:spacing w:after="160" w:before="0"/>
        <w:ind w:left="360"/>
        <w:jc w:val="both"/>
      </w:pPr>
      <w:r>
        <w:rPr>
          <w:rFonts w:ascii="Arial" w:cs="Arial" w:eastAsia="Arial" w:hAnsi="Arial"/>
          <w:sz w:val="24"/>
          <w:szCs w:val="24"/>
        </w:rPr>
        <w:t xml:space="preserve">The holographic bound on information capacity in any commitment network is:</w:t>
      </w:r>
    </w:p>
    <w:p>
      <w:pPr>
        <w:spacing w:after="120" w:before="120"/>
        <w:jc w:val="center"/>
      </w:pPr>
      <w:r>
        <w:rPr>
          <w:rFonts w:ascii="Arial" w:cs="Arial" w:eastAsia="Arial" w:hAnsi="Arial"/>
          <w:i/>
          <w:iCs/>
          <w:sz w:val="24"/>
          <w:szCs w:val="24"/>
        </w:rPr>
        <w:t xml:space="preserve">I_max = A_boundary / ℓ_P²     where ℓ_P = e⁻³</w:t>
      </w:r>
    </w:p>
    <w:p>
      <w:pPr>
        <w:spacing w:after="160" w:before="0"/>
        <w:ind w:left="360"/>
        <w:jc w:val="both"/>
      </w:pPr>
      <w:r>
        <w:rPr>
          <w:rFonts w:ascii="Arial" w:cs="Arial" w:eastAsia="Arial" w:hAnsi="Arial"/>
          <w:sz w:val="24"/>
          <w:szCs w:val="24"/>
        </w:rPr>
        <w:t xml:space="preserve">The natural length scale ℓ_P = e⁻³ is the Coupling threshold — the relational distance at which all eleven base operations become available and JUMP becomes possible. This is not an independent postulate; it is the same threshold that governs T₅ entanglement availability and the JMP coupling conditions.</w:t>
      </w:r>
    </w:p>
    <w:p>
      <w:pPr>
        <w:spacing w:after="160" w:before="0"/>
        <w:ind w:left="360"/>
        <w:jc w:val="both"/>
      </w:pPr>
      <w:r>
        <w:rPr>
          <w:rFonts w:ascii="Arial" w:cs="Arial" w:eastAsia="Arial" w:hAnsi="Arial"/>
          <w:sz w:val="24"/>
          <w:szCs w:val="24"/>
        </w:rPr>
        <w:t xml:space="preserve">The holographic bound means that information capacity scales with boundary area, not with the interior volume or hierarchical depth of the commitment network. Each additional nesting layer must demonstrably increase boundary area or it reduces net capacity per unit of depth. Organizational intelligence resides at interfaces — boundary commitments with external connections — not in hierarchical depth. A flat network with large external engagement holds more information than a deep hierarchy of the same nominal size.</w:t>
      </w:r>
    </w:p>
    <w:p>
      <w:pPr>
        <w:spacing w:after="160" w:before="0"/>
        <w:ind w:left="360"/>
        <w:jc w:val="both"/>
      </w:pPr>
      <w:r>
        <w:rPr>
          <w:rFonts w:ascii="Arial" w:cs="Arial" w:eastAsia="Arial" w:hAnsi="Arial"/>
          <w:sz w:val="24"/>
          <w:szCs w:val="24"/>
        </w:rPr>
        <w:t xml:space="preserve">The black hole information paradox is a direct consequence of misapplying this bound: treating the event horizon as a volume boundary rather than an area boundary. In the μ=0 manifold structure, information at the event horizon is encoded at the boundary where D transitions from 1 — the holographic surface. Information is not destroyed; it relocates to the manifold boundary. The bound resolves the paradox without additional postulates.</w:t>
      </w:r>
    </w:p>
    <w:p>
      <w:pPr>
        <w:spacing w:after="160" w:before="0"/>
        <w:ind w:left="360"/>
        <w:jc w:val="both"/>
      </w:pPr>
      <w:r>
        <w:rPr>
          <w:rFonts w:ascii="Arial" w:cs="Arial" w:eastAsia="Arial" w:hAnsi="Arial"/>
          <w:sz w:val="24"/>
          <w:szCs w:val="24"/>
        </w:rPr>
        <w:t xml:space="preserve">The network-level Channel capacity constraint follows directly from the holographic bound: Σᵢⱼ σᵢⱼ ≤ κ_D·D_sys·|χ|². Building more Channels reduces D_local in both parties, which flows into D_sys, which tightens the bound. The infrastructure is self-limiting: the more relational connections are built, the more carefully each must be chosen.</w:t>
      </w:r>
    </w:p>
    <w:p>
      <w:pPr>
        <w:spacing w:after="80" w:before="280"/>
        <w:jc w:val="left"/>
      </w:pPr>
      <w:r>
        <w:rPr>
          <w:rFonts w:ascii="Arial" w:cs="Arial" w:eastAsia="Arial" w:hAnsi="Arial"/>
          <w:b/>
          <w:bCs/>
          <w:sz w:val="24"/>
          <w:szCs w:val="24"/>
        </w:rPr>
        <w:t xml:space="preserve">10.  Emergent Complexity</w:t>
      </w:r>
      <w:r>
        <w:rPr>
          <w:rFonts w:ascii="Arial" w:cs="Arial" w:eastAsia="Arial" w:hAnsi="Arial"/>
          <w:sz w:val="24"/>
          <w:szCs w:val="24"/>
        </w:rPr>
        <w:t xml:space="preserve">  —  </w:t>
      </w:r>
      <w:r>
        <w:rPr>
          <w:rFonts w:ascii="Arial" w:cs="Arial" w:eastAsia="Arial" w:hAnsi="Arial"/>
          <w:i/>
          <w:iCs/>
          <w:sz w:val="24"/>
          <w:szCs w:val="24"/>
        </w:rPr>
        <w:t xml:space="preserve">every structure above the primitive arises by logical necessity, not design</w:t>
      </w:r>
    </w:p>
    <w:p>
      <w:pPr>
        <w:spacing w:after="160" w:before="0"/>
        <w:ind w:left="360"/>
        <w:jc w:val="both"/>
      </w:pPr>
      <w:r>
        <w:rPr>
          <w:rFonts w:ascii="Arial" w:cs="Arial" w:eastAsia="Arial" w:hAnsi="Arial"/>
          <w:sz w:val="24"/>
          <w:szCs w:val="24"/>
        </w:rPr>
        <w:t xml:space="preserve">The framework derives its structures; it does not append them. The claim of emergent complexity in Commitment Mathematics is precise: given the primitive C = (L, H, P, CV₀) and the conservation law, every subsequent structure — the anchor space, frame space, interaction modes, eleven base operations, Compensation, the Fabric, Channels, the five-dimensional Time manifold, temporal entanglement, generativity, Infrastructure Commitments, and the thirteen control primitives — follows by logical necessity. A structure S is necessary if and only if its absence creates a structural gap that no other element fills and it cannot be derived from the primitive by a different path that produces a different structure.</w:t>
      </w:r>
    </w:p>
    <w:p>
      <w:pPr>
        <w:spacing w:after="160" w:before="0"/>
        <w:ind w:left="360"/>
        <w:jc w:val="both"/>
      </w:pPr>
      <w:r>
        <w:rPr>
          <w:rFonts w:ascii="Arial" w:cs="Arial" w:eastAsia="Arial" w:hAnsi="Arial"/>
          <w:sz w:val="24"/>
          <w:szCs w:val="24"/>
        </w:rPr>
        <w:t xml:space="preserve">Complex behavior emerges from the interaction of these necessary structures without additional rules. Temporal entanglement is not designed into the framework as a feature; it is a structural consequence of the fact that any shared base operation changes both systems’ Fabric coordinates and therefore correlates their temporal evolution. Doom loops are not pathological exceptions; they are the topological consequence of directed cycles when |G_γ| &gt; 1. The Generative Temporal Anti-Correlation — the counter-intuitive result that maximum generativity requires operational stillness — emerges from the structure of G_vt = G_S·D·μ/(1+λ) without any dedicated rule.</w:t>
      </w:r>
    </w:p>
    <w:p>
      <w:pPr>
        <w:spacing w:after="160" w:before="0"/>
        <w:ind w:left="360"/>
        <w:jc w:val="both"/>
      </w:pPr>
      <w:r>
        <w:rPr>
          <w:rFonts w:ascii="Arial" w:cs="Arial" w:eastAsia="Arial" w:hAnsi="Arial"/>
          <w:sz w:val="24"/>
          <w:szCs w:val="24"/>
        </w:rPr>
        <w:t xml:space="preserve">The framework is validated by the absence of gaps. Every element is entailed by what precedes it. No structure can be removed without the framework collapsing at its level and every level below. This is the criterion of internal coherence, not empirical adequacy. The framework does not describe a complex world; it generates complexity from a simple primitive with no gaps and no redundancies.</w:t>
      </w:r>
    </w:p>
    <w:p>
      <w:pPr>
        <w:spacing w:after="80" w:before="280"/>
        <w:jc w:val="left"/>
      </w:pPr>
      <w:r>
        <w:rPr>
          <w:rFonts w:ascii="Arial" w:cs="Arial" w:eastAsia="Arial" w:hAnsi="Arial"/>
          <w:b/>
          <w:bCs/>
          <w:sz w:val="24"/>
          <w:szCs w:val="24"/>
        </w:rPr>
        <w:t xml:space="preserve">11.  Decentralized</w:t>
      </w:r>
      <w:r>
        <w:rPr>
          <w:rFonts w:ascii="Arial" w:cs="Arial" w:eastAsia="Arial" w:hAnsi="Arial"/>
          <w:sz w:val="24"/>
          <w:szCs w:val="24"/>
        </w:rPr>
        <w:t xml:space="preserve">  —  </w:t>
      </w:r>
      <w:r>
        <w:rPr>
          <w:rFonts w:ascii="Arial" w:cs="Arial" w:eastAsia="Arial" w:hAnsi="Arial"/>
          <w:i/>
          <w:iCs/>
          <w:sz w:val="24"/>
          <w:szCs w:val="24"/>
        </w:rPr>
        <w:t xml:space="preserve">infrastructure distribution is a geometric consequence, not a design preference</w:t>
      </w:r>
    </w:p>
    <w:p>
      <w:pPr>
        <w:spacing w:after="160" w:before="0"/>
        <w:ind w:left="360"/>
        <w:jc w:val="both"/>
      </w:pPr>
      <w:r>
        <w:rPr>
          <w:rFonts w:ascii="Arial" w:cs="Arial" w:eastAsia="Arial" w:hAnsi="Arial"/>
          <w:sz w:val="24"/>
          <w:szCs w:val="24"/>
        </w:rPr>
        <w:t xml:space="preserve">The asymmetry between damage propagation and stability restoration, the Channel cost structure, and the holographic bound all produce the same conclusion through independent derivations: infrastructure should be as local as the Fabric it serves. This is not a governance preference; it is a geometric necessity.</w:t>
      </w:r>
    </w:p>
    <w:p>
      <w:pPr>
        <w:spacing w:after="160" w:before="0"/>
        <w:ind w:left="360"/>
        <w:jc w:val="both"/>
      </w:pPr>
      <w:r>
        <w:rPr>
          <w:rFonts w:ascii="Arial" w:cs="Arial" w:eastAsia="Arial" w:hAnsi="Arial"/>
          <w:sz w:val="24"/>
          <w:szCs w:val="24"/>
        </w:rPr>
        <w:t xml:space="preserve">Damage propagates virally: Memory degradation cascades upward through nested Fabrics with coupling coefficient proportional to phase coherence Φᵢⱼ. Stability does not propagate in the same way. A commitment with degraded Memory cannot self-report its own damage — it is precisely when most needed that self-report fails. System surveillance through neighboring commitments is the only remaining detection pathway. Local Infrastructure Commitments — Reserve, Archive, Boundary — reduce the distance between the damage event and the detection and restoration response. Long-range infrastructure introduces propagation delay that the self-accelerating (1−μ)² term can exploit.</w:t>
      </w:r>
    </w:p>
    <w:p>
      <w:pPr>
        <w:spacing w:after="160" w:before="0"/>
        <w:ind w:left="360"/>
        <w:jc w:val="both"/>
      </w:pPr>
      <w:r>
        <w:rPr>
          <w:rFonts w:ascii="Arial" w:cs="Arial" w:eastAsia="Arial" w:hAnsi="Arial"/>
          <w:sz w:val="24"/>
          <w:szCs w:val="24"/>
        </w:rPr>
        <w:t xml:space="preserve">The Channel cost structure enforces decentralization independently: each LINK costs each party (ln 2)·Δσ/2 in D_local with only half-recovery on dissolution. A long-range Channel to a central infrastructure commitment is more expensive to maintain, more vulnerable to the Isolation dissolution rule, and more exposed to cycle gain instability than a local Channel to a nearby infrastructure commitment. The holographic bound enforces it a third time: each additional nesting layer between an operational commitment and its infrastructure reduces information capacity unless boundary area increases. Centralization always reduces boundary area relative to the nesting depth it adds.</w:t>
      </w:r>
    </w:p>
    <w:p>
      <w:pPr>
        <w:spacing w:after="160" w:before="0"/>
        <w:ind w:left="360"/>
        <w:jc w:val="both"/>
      </w:pPr>
      <w:r>
        <w:rPr>
          <w:rFonts w:ascii="Arial" w:cs="Arial" w:eastAsia="Arial" w:hAnsi="Arial"/>
          <w:sz w:val="24"/>
          <w:szCs w:val="24"/>
        </w:rPr>
        <w:t xml:space="preserve">Every Sanctuary + Firewall pair is local to the developmental relationship it protects. There is no global Sanctuary. The appropriate Firewall instance is determined by the Sanctuary’s interior process subtype and local threat profile. The decentralization is constitutive at the moment of creation, not a post-hoc organizational choice.</w:t>
      </w:r>
    </w:p>
    <w:p>
      <w:pPr>
        <w:spacing w:after="80" w:before="280"/>
        <w:jc w:val="left"/>
      </w:pPr>
      <w:r>
        <w:rPr>
          <w:rFonts w:ascii="Arial" w:cs="Arial" w:eastAsia="Arial" w:hAnsi="Arial"/>
          <w:b/>
          <w:bCs/>
          <w:sz w:val="24"/>
          <w:szCs w:val="24"/>
        </w:rPr>
        <w:t xml:space="preserve">12.  Conservative</w:t>
      </w:r>
      <w:r>
        <w:rPr>
          <w:rFonts w:ascii="Arial" w:cs="Arial" w:eastAsia="Arial" w:hAnsi="Arial"/>
          <w:sz w:val="24"/>
          <w:szCs w:val="24"/>
        </w:rPr>
        <w:t xml:space="preserve">  —  </w:t>
      </w:r>
      <w:r>
        <w:rPr>
          <w:rFonts w:ascii="Arial" w:cs="Arial" w:eastAsia="Arial" w:hAnsi="Arial"/>
          <w:i/>
          <w:iCs/>
          <w:sz w:val="24"/>
          <w:szCs w:val="24"/>
        </w:rPr>
        <w:t xml:space="preserve">a path-invariant conservation law governs all operations</w:t>
      </w:r>
    </w:p>
    <w:p>
      <w:pPr>
        <w:spacing w:after="160" w:before="0"/>
        <w:ind w:left="360"/>
        <w:jc w:val="both"/>
      </w:pPr>
      <w:r>
        <w:rPr>
          <w:rFonts w:ascii="Arial" w:cs="Arial" w:eastAsia="Arial" w:hAnsi="Arial"/>
          <w:sz w:val="24"/>
          <w:szCs w:val="24"/>
        </w:rPr>
        <w:t xml:space="preserve">The Relational Value Invariant is a path-invariant conservation law: for any trajectory through the state graph, RVₜₒₜₐₗ at the terminal state equals its value at the initial state. Conservation holds under all eleven base operations. Each operation either preserves RVₜₒₜₐₗ exactly (ROT, FLP, LNK, OPN) or preserves it through redistribution: ANL releases trapped compensation back to the network; JUMP converts generative potential to exchange value through k₂ΔΨ = ΔEV where k₂ = ln 2; MERGE and SPLIT release λ as cost_merge or cost_split that redistributes to the surrounding Fabric.</w:t>
      </w:r>
    </w:p>
    <w:p>
      <w:pPr>
        <w:spacing w:after="160" w:before="0"/>
        <w:ind w:left="360"/>
        <w:jc w:val="both"/>
      </w:pPr>
      <w:r>
        <w:rPr>
          <w:rFonts w:ascii="Arial" w:cs="Arial" w:eastAsia="Arial" w:hAnsi="Arial"/>
          <w:sz w:val="24"/>
          <w:szCs w:val="24"/>
        </w:rPr>
        <w:t xml:space="preserve">Conservation is the formal expression of the relational law stated in Part I: what is taken from one relation must be restored to another. A commitment with a valuation gap ΔV(C) = CV₀·[V·A·(1+T)−1] that is not bridged by sufficient Compensation violates conservation locally and will destabilize. Phantom value — networks in which RVₜₒₜₐₗ is high while RVᶠᵃᶜᵗᵒᴿ = 0 — is the state in which accumulated stock has no remaining generative capacity to hold the relations together. Conservation is being satisfied in the stock measure while failing in the flow measure. Two invariants are necessary precisely to detect this condition: one invariant of either type alone would conceal it.</w:t>
      </w:r>
    </w:p>
    <w:p>
      <w:pPr>
        <w:spacing w:after="80" w:before="280"/>
        <w:jc w:val="left"/>
      </w:pPr>
      <w:r>
        <w:rPr>
          <w:rFonts w:ascii="Arial" w:cs="Arial" w:eastAsia="Arial" w:hAnsi="Arial"/>
          <w:b/>
          <w:bCs/>
          <w:sz w:val="24"/>
          <w:szCs w:val="24"/>
        </w:rPr>
        <w:t xml:space="preserve">13.  Asymmetric</w:t>
      </w:r>
      <w:r>
        <w:rPr>
          <w:rFonts w:ascii="Arial" w:cs="Arial" w:eastAsia="Arial" w:hAnsi="Arial"/>
          <w:sz w:val="24"/>
          <w:szCs w:val="24"/>
        </w:rPr>
        <w:t xml:space="preserve">  —  </w:t>
      </w:r>
      <w:r>
        <w:rPr>
          <w:rFonts w:ascii="Arial" w:cs="Arial" w:eastAsia="Arial" w:hAnsi="Arial"/>
          <w:i/>
          <w:iCs/>
          <w:sz w:val="24"/>
          <w:szCs w:val="24"/>
        </w:rPr>
        <w:t xml:space="preserve">the primitive contains an irreducible structural asymmetry between L and H</w:t>
      </w:r>
    </w:p>
    <w:p>
      <w:pPr>
        <w:spacing w:after="160" w:before="0"/>
        <w:ind w:left="360"/>
        <w:jc w:val="both"/>
      </w:pPr>
      <w:r>
        <w:rPr>
          <w:rFonts w:ascii="Arial" w:cs="Arial" w:eastAsia="Arial" w:hAnsi="Arial"/>
          <w:sz w:val="24"/>
          <w:szCs w:val="24"/>
        </w:rPr>
        <w:t xml:space="preserve">The asymmetry between the Liable Authority and the Holding Entity is not a modelling convenience. It is the constitutive structure of a commitment. L’s valuation is one-dimensional: V̂ₗ(C) = −CV₀, a fixed scalar. H’s valuation is multidimensional: V̂ʰ(C) = +CV₀·V·A·(1+T), ranging from 0 to 2·CV₀. The asymmetry produces the valuation gap, which produces the necessity of Compensation, which produces its six dimensions. Collapsing L and H into a single perspective eliminates the valuation gap and makes Compensation undefined. The framework would be incoherent.</w:t>
      </w:r>
    </w:p>
    <w:p>
      <w:pPr>
        <w:spacing w:after="160" w:before="0"/>
        <w:ind w:left="360"/>
        <w:jc w:val="both"/>
      </w:pPr>
      <w:r>
        <w:rPr>
          <w:rFonts w:ascii="Arial" w:cs="Arial" w:eastAsia="Arial" w:hAnsi="Arial"/>
          <w:sz w:val="24"/>
          <w:szCs w:val="24"/>
        </w:rPr>
        <w:t xml:space="preserve">L-resistance follows structurally from the asymmetry: R_L(ΔCV) = ρ·|ΔCV| where ρ = 1−(V·A) applies when ΔCV &gt; 0 and is zero when ΔCV ≤ 0. L resists operations that increase its exposure; it does not resist operations that decrease it. This asymmetry in resistance is not behavioral; it is the valuation asymmetry expressed at the operation level. JUMP’s fourth conjunctive condition — R_L(CV₀′−CV₀) &lt; κ·CV₀ — is the work function: the binding condition on qualitative transitions when they increase the receiver’s liability.</w:t>
      </w:r>
    </w:p>
    <w:p>
      <w:pPr>
        <w:spacing w:after="160" w:before="0"/>
        <w:ind w:left="360"/>
        <w:jc w:val="both"/>
      </w:pPr>
      <w:r>
        <w:rPr>
          <w:rFonts w:ascii="Arial" w:cs="Arial" w:eastAsia="Arial" w:hAnsi="Arial"/>
          <w:sz w:val="24"/>
          <w:szCs w:val="24"/>
        </w:rPr>
        <w:t xml:space="preserve">Gender complementarity Gᶜ(A,B) = 1 is the asymmetric role structure required for JUMP: one party carries organized information (high M: low A, high μ, low T) and the other holds the potential that the information organizes (high F: high A, low μ, high T). Systems with identical roles cannot enter generative coupling. The asymmetry is not incidental to JUMP; it is one of its four conjunctive conditions.</w:t>
      </w:r>
    </w:p>
    <w:p>
      <w:pPr>
        <w:spacing w:after="80" w:before="280"/>
        <w:jc w:val="left"/>
      </w:pPr>
      <w:r>
        <w:rPr>
          <w:rFonts w:ascii="Arial" w:cs="Arial" w:eastAsia="Arial" w:hAnsi="Arial"/>
          <w:b/>
          <w:bCs/>
          <w:sz w:val="24"/>
          <w:szCs w:val="24"/>
        </w:rPr>
        <w:t xml:space="preserve">14.  Irreversible (partially)</w:t>
      </w:r>
      <w:r>
        <w:rPr>
          <w:rFonts w:ascii="Arial" w:cs="Arial" w:eastAsia="Arial" w:hAnsi="Arial"/>
          <w:sz w:val="24"/>
          <w:szCs w:val="24"/>
        </w:rPr>
        <w:t xml:space="preserve">  —  </w:t>
      </w:r>
      <w:r>
        <w:rPr>
          <w:rFonts w:ascii="Arial" w:cs="Arial" w:eastAsia="Arial" w:hAnsi="Arial"/>
          <w:i/>
          <w:iCs/>
          <w:sz w:val="24"/>
          <w:szCs w:val="24"/>
        </w:rPr>
        <w:t xml:space="preserve">three time dimensions are strictly irreversible; two are reversible with cost</w:t>
      </w:r>
    </w:p>
    <w:p>
      <w:pPr>
        <w:spacing w:after="160" w:before="0"/>
        <w:ind w:left="360"/>
        <w:jc w:val="both"/>
      </w:pPr>
      <w:r>
        <w:rPr>
          <w:rFonts w:ascii="Arial" w:cs="Arial" w:eastAsia="Arial" w:hAnsi="Arial"/>
          <w:sz w:val="24"/>
          <w:szCs w:val="24"/>
        </w:rPr>
        <w:t xml:space="preserve">T₂ (Mnemonic) is strictly irreversible. The Memory degradation equation Δμ = −ln 2·Σⁿ [(Dⁿ)² + (Δλⁿ)² + (1−μⁿ)²] produces monotonically increasing T₂. The (1−μ)² self-feedback term means that partial restoration via REPAIR does not undo accumulated T₂ advance at the network level. T₄ (Economic) is strictly irreversible: reversed compensation flow requires negative resistance ρ &lt; 0, which is undefined. T₅ (Generative) is strictly irreversible: topological operations proceed through path-dependent sequences; ANL∘CRT = I_∅ as an algebraic identity, but the generative potential consumed along the path is not restored by traversing the inverse.</w:t>
      </w:r>
    </w:p>
    <w:p>
      <w:pPr>
        <w:spacing w:after="160" w:before="0"/>
        <w:ind w:left="360"/>
        <w:jc w:val="both"/>
      </w:pPr>
      <w:r>
        <w:rPr>
          <w:rFonts w:ascii="Arial" w:cs="Arial" w:eastAsia="Arial" w:hAnsi="Arial"/>
          <w:sz w:val="24"/>
          <w:szCs w:val="24"/>
        </w:rPr>
        <w:t xml:space="preserve">T₁ (Operational) and T₃ (Relational) are reversible with cost. Operations can be reversed in T₁, but reversal encounters L-resistance for liability-increasing operations. Phase angles can rotate backward in T₃ through negative φ in ROT operations, but desynchronization from established phase structures requires energy proportional to the phase change and the coupling coefficient κ.</w:t>
      </w:r>
    </w:p>
    <w:p>
      <w:pPr>
        <w:spacing w:after="160" w:before="0"/>
        <w:ind w:left="360"/>
        <w:jc w:val="both"/>
      </w:pPr>
      <w:r>
        <w:rPr>
          <w:rFonts w:ascii="Arial" w:cs="Arial" w:eastAsia="Arial" w:hAnsi="Arial"/>
          <w:sz w:val="24"/>
          <w:szCs w:val="24"/>
        </w:rPr>
        <w:t xml:space="preserve">Complete time reversal is structurally impossible. The three strictly irreversible dimensions create an absolute barrier. Even if T₁ and T₃ could be reversed with sufficient energy, the system would continue advancing in T₂, T₄, and T₅. This is not a practical impossibility. It is structural, following from the equations of the framework.</w:t>
      </w:r>
    </w:p>
    <w:p>
      <w:pPr>
        <w:spacing w:after="80" w:before="280"/>
        <w:jc w:val="left"/>
      </w:pPr>
      <w:r>
        <w:rPr>
          <w:rFonts w:ascii="Arial" w:cs="Arial" w:eastAsia="Arial" w:hAnsi="Arial"/>
          <w:b/>
          <w:bCs/>
          <w:sz w:val="24"/>
          <w:szCs w:val="24"/>
        </w:rPr>
        <w:t xml:space="preserve">15.  Self-Referential</w:t>
      </w:r>
      <w:r>
        <w:rPr>
          <w:rFonts w:ascii="Arial" w:cs="Arial" w:eastAsia="Arial" w:hAnsi="Arial"/>
          <w:sz w:val="24"/>
          <w:szCs w:val="24"/>
        </w:rPr>
        <w:t xml:space="preserve">  —  </w:t>
      </w:r>
      <w:r>
        <w:rPr>
          <w:rFonts w:ascii="Arial" w:cs="Arial" w:eastAsia="Arial" w:hAnsi="Arial"/>
          <w:i/>
          <w:iCs/>
          <w:sz w:val="24"/>
          <w:szCs w:val="24"/>
        </w:rPr>
        <w:t xml:space="preserve">the framework contains the condition for its own observation</w:t>
      </w:r>
    </w:p>
    <w:p>
      <w:pPr>
        <w:spacing w:after="160" w:before="0"/>
        <w:ind w:left="360"/>
        <w:jc w:val="both"/>
      </w:pPr>
      <w:r>
        <w:rPr>
          <w:rFonts w:ascii="Arial" w:cs="Arial" w:eastAsia="Arial" w:hAnsi="Arial"/>
          <w:sz w:val="24"/>
          <w:szCs w:val="24"/>
        </w:rPr>
        <w:t xml:space="preserve">MONITOR computes the Fabric coordinates of the commitment network and exists only when μ_sys ≥ μ_critical = 1/(2e) ≈ 0.184. This threshold is the structural definition of self-awareness within the framework: it is the condition under which the network can observe, regulate, and restore its own state. Below it, all three control categories fail simultaneously and the framework operates without the capacity to know its own condition.</w:t>
      </w:r>
    </w:p>
    <w:p>
      <w:pPr>
        <w:spacing w:after="160" w:before="0"/>
        <w:ind w:left="360"/>
        <w:jc w:val="both"/>
      </w:pPr>
      <w:r>
        <w:rPr>
          <w:rFonts w:ascii="Arial" w:cs="Arial" w:eastAsia="Arial" w:hAnsi="Arial"/>
          <w:sz w:val="24"/>
          <w:szCs w:val="24"/>
        </w:rPr>
        <w:t xml:space="preserve">T₅ (Generative Time) carries a self-referential character that distinguishes it from all other time dimensions. T₅ measures the integral of G_vt over topological operations, but G_vt itself depends on which topological operations have previously occurred through the Generation Output G_S. T₅ is partly constituted by what it measures. No other time dimension has this property.</w:t>
      </w:r>
    </w:p>
    <w:p>
      <w:pPr>
        <w:spacing w:after="160" w:before="0"/>
        <w:ind w:left="360"/>
        <w:jc w:val="both"/>
      </w:pPr>
      <w:r>
        <w:rPr>
          <w:rFonts w:ascii="Arial" w:cs="Arial" w:eastAsia="Arial" w:hAnsi="Arial"/>
          <w:sz w:val="24"/>
          <w:szCs w:val="24"/>
        </w:rPr>
        <w:t xml:space="preserve">The framework therefore contains within itself the formal account of the consciousness that is needed to sustain it. Self-awareness is not a property added from outside; it is a structural threshold derivable from the conservation law and the Memory degradation equation. When μ_sys crosses below 1/(2e), the network loses the capacity to maintain the conditions for reality construction. Consciousness — in the precise sense of this threshold being met — is a structural necessity, not an emergent epiphenomenon.</w:t>
      </w:r>
    </w:p>
    <w:p>
      <w:pPr>
        <w:spacing w:after="400" w:before="0"/>
      </w:pPr>
      <w:r>
        <w:t xml:space="preserve"/>
      </w:r>
    </w:p>
    <w:p>
      <w:pPr>
        <w:pBdr>
          <w:bottom w:val="single" w:color="999999" w:sz="4" w:space="1"/>
        </w:pBdr>
        <w:spacing w:after="200" w:before="200"/>
      </w:pPr>
      <w:r>
        <w:t xml:space="preserve"/>
      </w:r>
    </w:p>
    <w:p>
      <w:pPr>
        <w:spacing w:after="200" w:before="0"/>
      </w:pPr>
      <w:r>
        <w:t xml:space="preserve"/>
      </w:r>
    </w:p>
    <w:p>
      <w:pPr>
        <w:spacing w:after="400" w:before="0"/>
        <w:jc w:val="center"/>
      </w:pPr>
      <w:r>
        <w:rPr>
          <w:rFonts w:ascii="Arial" w:cs="Arial" w:eastAsia="Arial" w:hAnsi="Arial"/>
          <w:b/>
          <w:bCs/>
          <w:sz w:val="24"/>
          <w:szCs w:val="24"/>
        </w:rPr>
        <w:t xml:space="preserve">One primitive. One conservation law. Every structure necessary. Every property derived.</w:t>
      </w:r>
    </w:p>
    <w:p>
      <w:pPr>
        <w:pBdr>
          <w:bottom w:val="single" w:color="999999" w:sz="4" w:space="1"/>
        </w:pBdr>
        <w:spacing w:after="200" w:before="200"/>
      </w:pPr>
      <w:r>
        <w:t xml:space="preserve"/>
      </w:r>
    </w:p>
    <w:p>
      <w:pPr>
        <w:spacing w:after="200" w:before="0"/>
      </w:pPr>
      <w:r>
        <w:t xml:space="preserve"/>
      </w:r>
    </w:p>
    <w:p>
      <w:pPr>
        <w:spacing w:after="80" w:before="0"/>
        <w:jc w:val="center"/>
      </w:pPr>
      <w:r>
        <w:rPr>
          <w:rFonts w:ascii="Arial" w:cs="Arial" w:eastAsia="Arial" w:hAnsi="Arial"/>
          <w:i/>
          <w:iCs/>
          <w:sz w:val="20"/>
          <w:szCs w:val="20"/>
        </w:rPr>
        <w:t xml:space="preserve">© Otto Beseka Isong, 2026  •  Genie Capital Ltd  •  CC-BY-NC-SA</w:t>
      </w:r>
    </w:p>
    <w:p>
      <w:pPr>
        <w:spacing w:after="0" w:before="0"/>
        <w:jc w:val="center"/>
      </w:pPr>
      <w:r>
        <w:rPr>
          <w:rFonts w:ascii="Arial" w:cs="Arial" w:eastAsia="Arial" w:hAnsi="Arial"/>
          <w:i/>
          <w:iCs/>
          <w:sz w:val="20"/>
          <w:szCs w:val="20"/>
        </w:rPr>
        <w:t xml:space="preserve">Commitment Mathematics v5.3 — Introduction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2026-04-26T18:51:42.822Z</dcterms:created>
  <dcterms:modified xsi:type="dcterms:W3CDTF">2026-04-26T18:51:42.823Z</dcterms:modified>
</cp:coreProperties>
</file>

<file path=docProps/custom.xml><?xml version="1.0" encoding="utf-8"?>
<Properties xmlns="http://schemas.openxmlformats.org/officeDocument/2006/custom-properties" xmlns:vt="http://schemas.openxmlformats.org/officeDocument/2006/docPropsVTypes"/>
</file>