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6be95e4de79aab99090a9f57e6aa35eecee528"/>
    <w:p>
      <w:pPr>
        <w:pStyle w:val="Heading1"/>
      </w:pPr>
      <w:r>
        <w:t xml:space="preserve">Decisiones de Diseño de Pruebas: Task Manager Testing Lab</w:t>
      </w:r>
    </w:p>
    <w:p>
      <w:pPr>
        <w:pStyle w:val="FirstParagraph"/>
      </w:pPr>
      <w:r>
        <w:rPr>
          <w:bCs/>
          <w:b/>
        </w:rPr>
        <w:t xml:space="preserve">Linney Florez</w:t>
      </w:r>
    </w:p>
    <w:p>
      <w:pPr>
        <w:pStyle w:val="BodyText"/>
      </w:pPr>
      <w:r>
        <w:rPr>
          <w:bCs/>
          <w:b/>
        </w:rPr>
        <w:t xml:space="preserve">Universidad</w:t>
      </w:r>
    </w:p>
    <w:p>
      <w:pPr>
        <w:pStyle w:val="BodyText"/>
      </w:pPr>
      <w:r>
        <w:rPr>
          <w:bCs/>
          <w:b/>
        </w:rPr>
        <w:t xml:space="preserve">Asignatura: Pruebas de Software</w:t>
      </w:r>
    </w:p>
    <w:p>
      <w:pPr>
        <w:pStyle w:val="BodyText"/>
      </w:pPr>
      <w:r>
        <w:rPr>
          <w:bCs/>
          <w:b/>
        </w:rPr>
        <w:t xml:space="preserve">31 de julio de 2026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Este documento describe las decisiones de diseño tomadas en la suite de pruebas para la aplicación Task Manager. Se presentan las estrategias de prueba unitaria, de hooks y de componentes, la justificación de casos de prueba, y la documentación del mocking de dependencias externas.</w:t>
      </w:r>
    </w:p>
    <w:p>
      <w:pPr>
        <w:pStyle w:val="BodyText"/>
      </w:pPr>
      <w:r>
        <w:rPr>
          <w:bCs/>
          <w:b/>
        </w:rPr>
        <w:t xml:space="preserve">Palabras clave:</w:t>
      </w:r>
      <w:r>
        <w:t xml:space="preserve"> </w:t>
      </w:r>
      <w:r>
        <w:t xml:space="preserve">Jest, pruebas unitarias, pruebas de hooks, pruebas de componentes, React Native Testing Library, mocking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Las pruebas automatizadas garantizan la calidad del software. En aplicaciones React Native, las pruebas unitarias, de hooks y de componentes validan el comportamiento esperado ante entradas válidas, casos límite y valores inesperados. Este documento detalla las decisiones de diseño de la suite de pruebas del proyecto Task Manager.</w:t>
      </w:r>
    </w:p>
    <w:bookmarkEnd w:id="21"/>
    <w:bookmarkStart w:id="22" w:name="acceso-al-repositorio"/>
    <w:p>
      <w:pPr>
        <w:pStyle w:val="Heading2"/>
      </w:pPr>
      <w:r>
        <w:t xml:space="preserve">Acceso al Repositorio</w:t>
      </w:r>
    </w:p>
    <w:p>
      <w:pPr>
        <w:pStyle w:val="FirstParagraph"/>
      </w:pPr>
      <w:r>
        <w:t xml:space="preserve">El código fuente está disponible en: https://github.com/ibethflorezb-a11y/task-manager-testing-lab-Linney_Florez</w:t>
      </w:r>
    </w:p>
    <w:bookmarkEnd w:id="22"/>
    <w:bookmarkStart w:id="23" w:name="pruebas-unitarias"/>
    <w:p>
      <w:pPr>
        <w:pStyle w:val="Heading2"/>
      </w:pPr>
      <w:r>
        <w:t xml:space="preserve">Pruebas Unitarias</w:t>
      </w:r>
    </w:p>
    <w:p>
      <w:pPr>
        <w:pStyle w:val="FirstParagraph"/>
      </w:pPr>
      <w:r>
        <w:t xml:space="preserve">Se crearon 7 pruebas para</w:t>
      </w:r>
      <w:r>
        <w:t xml:space="preserve"> </w:t>
      </w:r>
      <w:r>
        <w:rPr>
          <w:rStyle w:val="VerbatimChar"/>
        </w:rPr>
        <w:t xml:space="preserve">validateTaskTitle</w:t>
      </w:r>
      <w:r>
        <w:t xml:space="preserve"> </w:t>
      </w:r>
      <w:r>
        <w:t xml:space="preserve">y 4 para</w:t>
      </w:r>
      <w:r>
        <w:t xml:space="preserve"> </w:t>
      </w:r>
      <w:r>
        <w:rPr>
          <w:rStyle w:val="VerbatimChar"/>
        </w:rPr>
        <w:t xml:space="preserve">filterTasksByStatus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validateTaskTitle</w:t>
      </w:r>
      <w:r>
        <w:t xml:space="preserve">, se validaron casos válidos (longitudes 3-100 caracteres), casos límite (exactamente 3 y 100 caracteres) y casos de error (cadenas vacías, solo espacios, longitudes fuera de rango). Se utilizaron matchers</w:t>
      </w:r>
      <w:r>
        <w:t xml:space="preserve"> </w:t>
      </w:r>
      <w:r>
        <w:rPr>
          <w:rStyle w:val="VerbatimChar"/>
        </w:rPr>
        <w:t xml:space="preserve">toBeNull</w:t>
      </w:r>
      <w:r>
        <w:t xml:space="preserve"> </w:t>
      </w:r>
      <w:r>
        <w:t xml:space="preserve">para casos válidos y</w:t>
      </w:r>
      <w:r>
        <w:t xml:space="preserve"> </w:t>
      </w:r>
      <w:r>
        <w:rPr>
          <w:rStyle w:val="VerbatimChar"/>
        </w:rPr>
        <w:t xml:space="preserve">toBe</w:t>
      </w:r>
      <w:r>
        <w:t xml:space="preserve"> </w:t>
      </w:r>
      <w:r>
        <w:t xml:space="preserve">para mensajes de error. Para</w:t>
      </w:r>
      <w:r>
        <w:t xml:space="preserve"> </w:t>
      </w:r>
      <w:r>
        <w:rPr>
          <w:rStyle w:val="VerbatimChar"/>
        </w:rPr>
        <w:t xml:space="preserve">filterTasksByStatus</w:t>
      </w:r>
      <w:r>
        <w:t xml:space="preserve">, se probó el filtrado por estado, arreglos vacíos, estado</w:t>
      </w:r>
      <w:r>
        <w:t xml:space="preserve"> </w:t>
      </w:r>
      <w:r>
        <w:t xml:space="preserve">‘</w:t>
      </w:r>
      <w:r>
        <w:t xml:space="preserve">all</w:t>
      </w:r>
      <w:r>
        <w:t xml:space="preserve">’</w:t>
      </w:r>
      <w:r>
        <w:t xml:space="preserve"> </w:t>
      </w:r>
      <w:r>
        <w:t xml:space="preserve">y manejo de excepciones con</w:t>
      </w:r>
      <w:r>
        <w:t xml:space="preserve"> </w:t>
      </w:r>
      <w:r>
        <w:rPr>
          <w:rStyle w:val="VerbatimChar"/>
        </w:rPr>
        <w:t xml:space="preserve">toThrow</w:t>
      </w:r>
      <w:r>
        <w:t xml:space="preserve">.</w:t>
      </w:r>
    </w:p>
    <w:bookmarkEnd w:id="23"/>
    <w:bookmarkStart w:id="24" w:name="pruebas-de-hooks"/>
    <w:p>
      <w:pPr>
        <w:pStyle w:val="Heading2"/>
      </w:pPr>
      <w:r>
        <w:t xml:space="preserve">Pruebas de Hooks</w:t>
      </w:r>
    </w:p>
    <w:p>
      <w:pPr>
        <w:pStyle w:val="FirstParagraph"/>
      </w:pPr>
      <w:r>
        <w:t xml:space="preserve">Se crearon 4 pruebas para</w:t>
      </w:r>
      <w:r>
        <w:t xml:space="preserve"> </w:t>
      </w:r>
      <w:r>
        <w:rPr>
          <w:rStyle w:val="VerbatimChar"/>
        </w:rPr>
        <w:t xml:space="preserve">useCreateTask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renderHook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act()</w:t>
      </w:r>
      <w:r>
        <w:t xml:space="preserve">. Se validó: (1) estado inicial (</w:t>
      </w:r>
      <w:r>
        <w:t xml:space="preserve">‘</w:t>
      </w:r>
      <w:r>
        <w:t xml:space="preserve">idle</w:t>
      </w:r>
      <w:r>
        <w:t xml:space="preserve">’</w:t>
      </w:r>
      <w:r>
        <w:t xml:space="preserve"> </w:t>
      </w:r>
      <w:r>
        <w:t xml:space="preserve">y lista vacía), (2) transición a</w:t>
      </w:r>
      <w:r>
        <w:t xml:space="preserve"> </w:t>
      </w:r>
      <w:r>
        <w:t xml:space="preserve">‘</w:t>
      </w:r>
      <w:r>
        <w:t xml:space="preserve">success</w:t>
      </w:r>
      <w:r>
        <w:t xml:space="preserve">’</w:t>
      </w:r>
      <w:r>
        <w:t xml:space="preserve"> </w:t>
      </w:r>
      <w:r>
        <w:t xml:space="preserve">al crear tarea, (3) transición a</w:t>
      </w:r>
      <w:r>
        <w:t xml:space="preserve"> </w:t>
      </w:r>
      <w:r>
        <w:t xml:space="preserve">‘</w:t>
      </w:r>
      <w:r>
        <w:t xml:space="preserve">error</w:t>
      </w:r>
      <w:r>
        <w:t xml:space="preserve">’</w:t>
      </w:r>
      <w:r>
        <w:t xml:space="preserve"> </w:t>
      </w:r>
      <w:r>
        <w:t xml:space="preserve">al fallar, (4) eliminación de tareas. El uso de</w:t>
      </w:r>
      <w:r>
        <w:t xml:space="preserve"> </w:t>
      </w:r>
      <w:r>
        <w:rPr>
          <w:rStyle w:val="VerbatimChar"/>
        </w:rPr>
        <w:t xml:space="preserve">act()</w:t>
      </w:r>
      <w:r>
        <w:t xml:space="preserve"> </w:t>
      </w:r>
      <w:r>
        <w:t xml:space="preserve">garantizó que las aserciones se evaluaran después de procesar todas las actualizaciones de estado.</w:t>
      </w:r>
    </w:p>
    <w:bookmarkEnd w:id="24"/>
    <w:bookmarkStart w:id="25" w:name="pruebas-de-componentes"/>
    <w:p>
      <w:pPr>
        <w:pStyle w:val="Heading2"/>
      </w:pPr>
      <w:r>
        <w:t xml:space="preserve">Pruebas de Componentes</w:t>
      </w:r>
    </w:p>
    <w:p>
      <w:pPr>
        <w:pStyle w:val="FirstParagraph"/>
      </w:pPr>
      <w:r>
        <w:t xml:space="preserve">Se crearon 4 pruebas para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 </w:t>
      </w:r>
      <w:r>
        <w:t xml:space="preserve">verificando: (1) mensaje cuando lista está vacía, (2) ausencia de mensaje con tareas, (3) contador plural, (4) contador singular. Se crearon 4 pruebas adicionales para</w:t>
      </w:r>
      <w:r>
        <w:t xml:space="preserve"> </w:t>
      </w:r>
      <w:r>
        <w:rPr>
          <w:rStyle w:val="VerbatimChar"/>
        </w:rPr>
        <w:t xml:space="preserve">ConfirmDeleteDialog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fireEvent</w:t>
      </w:r>
      <w:r>
        <w:t xml:space="preserve"> </w:t>
      </w:r>
      <w:r>
        <w:t xml:space="preserve">para simular eventos: (1) presencia del título, (2) interpolación de texto, (3) callback</w:t>
      </w:r>
      <w:r>
        <w:t xml:space="preserve"> </w:t>
      </w:r>
      <w:r>
        <w:rPr>
          <w:rStyle w:val="VerbatimChar"/>
        </w:rPr>
        <w:t xml:space="preserve">onConfirm</w:t>
      </w:r>
      <w:r>
        <w:t xml:space="preserve">, (4) callback</w:t>
      </w:r>
      <w:r>
        <w:t xml:space="preserve"> </w:t>
      </w:r>
      <w:r>
        <w:rPr>
          <w:rStyle w:val="VerbatimChar"/>
        </w:rPr>
        <w:t xml:space="preserve">onCancel</w:t>
      </w:r>
      <w:r>
        <w:t xml:space="preserve">.</w:t>
      </w:r>
    </w:p>
    <w:bookmarkEnd w:id="25"/>
    <w:bookmarkStart w:id="26" w:name="mocking-justificado"/>
    <w:p>
      <w:pPr>
        <w:pStyle w:val="Heading2"/>
      </w:pPr>
      <w:r>
        <w:t xml:space="preserve">Mocking Justificado</w:t>
      </w:r>
    </w:p>
    <w:p>
      <w:pPr>
        <w:pStyle w:val="FirstParagraph"/>
      </w:pPr>
      <w:r>
        <w:t xml:space="preserve">Se aplicó</w:t>
      </w:r>
      <w:r>
        <w:t xml:space="preserve"> </w:t>
      </w:r>
      <w:r>
        <w:rPr>
          <w:rStyle w:val="VerbatimChar"/>
        </w:rPr>
        <w:t xml:space="preserve">jest.mock('../../src/services/taskService')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useCreateTask</w:t>
      </w:r>
      <w:r>
        <w:t xml:space="preserve"> </w:t>
      </w:r>
      <w:r>
        <w:t xml:space="preserve">para aislar la lógica del hook de factores externos (latencia de red, disponibilidad del servidor). Se simularon escenarios de éxito con</w:t>
      </w:r>
      <w:r>
        <w:t xml:space="preserve"> </w:t>
      </w:r>
      <w:r>
        <w:rPr>
          <w:rStyle w:val="VerbatimChar"/>
        </w:rPr>
        <w:t xml:space="preserve">mockResolvedValueOnce</w:t>
      </w:r>
      <w:r>
        <w:t xml:space="preserve"> </w:t>
      </w:r>
      <w:r>
        <w:t xml:space="preserve">y de fallo con</w:t>
      </w:r>
      <w:r>
        <w:t xml:space="preserve"> </w:t>
      </w:r>
      <w:r>
        <w:rPr>
          <w:rStyle w:val="VerbatimChar"/>
        </w:rPr>
        <w:t xml:space="preserve">mockRejectedValueOnce</w:t>
      </w:r>
      <w:r>
        <w:t xml:space="preserve">. La justificación se documentó con comentarios en el código.</w:t>
      </w:r>
    </w:p>
    <w:bookmarkEnd w:id="26"/>
    <w:bookmarkStart w:id="27" w:name="reporte-de-cobertura"/>
    <w:p>
      <w:pPr>
        <w:pStyle w:val="Heading2"/>
      </w:pPr>
      <w:r>
        <w:t xml:space="preserve">Reporte de Cobertura</w:t>
      </w:r>
    </w:p>
    <w:p>
      <w:pPr>
        <w:pStyle w:val="FirstParagraph"/>
      </w:pPr>
      <w:r>
        <w:t xml:space="preserve">Cobertura alcanzada: 90.9% en sentencias, 83.78% en ramas, 88.88% en funciones, 91.54% en líneas. Todos los tests pasaron exitosamente (49 tests, 13 suites).</w:t>
      </w:r>
    </w:p>
    <w:bookmarkEnd w:id="27"/>
    <w:bookmarkStart w:id="28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La suite de pruebas cumple todos los requisitos de la Actividad 2, validando el comportamiento del sistema ante entradas válidas, casos límite y valores inesperados, con cobertura satisfactoria.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Jest. (s.f.). Expect reference. Meta Open Source. https://jestjs.io/docs/expect</w:t>
      </w:r>
    </w:p>
    <w:p>
      <w:pPr>
        <w:pStyle w:val="BodyText"/>
      </w:pPr>
      <w:r>
        <w:t xml:space="preserve">Jest. (s.f.). Mock functions. Meta Open Source. https://jestjs.io/docs/mock-functions</w:t>
      </w:r>
    </w:p>
    <w:p>
      <w:pPr>
        <w:pStyle w:val="BodyText"/>
      </w:pPr>
      <w:r>
        <w:t xml:space="preserve">React Native Testing Library. (s.f.). API reference. https://callstack.github.io/react-native-testing-library/docs/api</w:t>
      </w:r>
    </w:p>
    <w:p>
      <w:pPr>
        <w:pStyle w:val="BodyText"/>
      </w:pPr>
      <w:r>
        <w:t xml:space="preserve">Burnham, T. (2024).</w:t>
      </w:r>
      <w:r>
        <w:t xml:space="preserve"> </w:t>
      </w:r>
      <w:r>
        <w:rPr>
          <w:iCs/>
          <w:i/>
        </w:rPr>
        <w:t xml:space="preserve">Test-driven React: Find problems early, fix them quickly, code with confidence</w:t>
      </w:r>
      <w:r>
        <w:t xml:space="preserve"> </w:t>
      </w:r>
      <w:r>
        <w:t xml:space="preserve">(2.ª ed.). The Pragmatic Bookshelf.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2026-08-01T00:40:29Z</dcterms:created>
  <dcterms:modified xsi:type="dcterms:W3CDTF">2026-08-01T00:40:29Z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