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83" w:type="pct"/>
        <w:tblBorders>
          <w:bottom w:val="single" w:sz="8" w:space="0" w:color="9CC2E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066"/>
        <w:gridCol w:w="2110"/>
      </w:tblGrid>
      <w:tr w:rsidR="003E7E12" w:rsidTr="00466082">
        <w:trPr>
          <w:trHeight w:val="1756"/>
        </w:trPr>
        <w:tc>
          <w:tcPr>
            <w:tcW w:w="3850" w:type="pct"/>
            <w:vAlign w:val="bottom"/>
          </w:tcPr>
          <w:sdt>
            <w:sdtPr>
              <w:rPr>
                <w:rFonts w:ascii="Arial Black" w:hAnsi="Arial Black"/>
              </w:rPr>
              <w:alias w:val="Company Name"/>
              <w:tag w:val=""/>
              <w:id w:val="-886792623"/>
              <w:placeholder>
                <w:docPart w:val="5DF259ECB51E40048FEE2483F226163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3E7E12" w:rsidRPr="007123A6" w:rsidRDefault="003E7E12" w:rsidP="00466082">
                <w:pPr>
                  <w:pStyle w:val="Name"/>
                  <w:ind w:left="0" w:right="0"/>
                  <w:rPr>
                    <w:rFonts w:ascii="Arial Black" w:hAnsi="Arial Black"/>
                  </w:rPr>
                </w:pPr>
                <w:r w:rsidRPr="009C32AC">
                  <w:rPr>
                    <w:rFonts w:ascii="Arial Black" w:hAnsi="Arial Black"/>
                  </w:rPr>
                  <w:t>Ibex International</w:t>
                </w:r>
              </w:p>
            </w:sdtContent>
          </w:sdt>
          <w:sdt>
            <w:sdtPr>
              <w:rPr>
                <w:rFonts w:ascii="Arial Black" w:hAnsi="Arial Black"/>
              </w:rPr>
              <w:alias w:val="Company Address"/>
              <w:tag w:val=""/>
              <w:id w:val="-835229435"/>
              <w:placeholder>
                <w:docPart w:val="1EDD9E0C008048CE9AAEB968284976C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3E7E12" w:rsidRPr="0095073D" w:rsidRDefault="003E7E12" w:rsidP="003E7E12">
                <w:pPr>
                  <w:pStyle w:val="NoSpacing"/>
                  <w:ind w:left="0" w:right="0"/>
                </w:pPr>
                <w:r w:rsidRPr="00BD66A9">
                  <w:rPr>
                    <w:rFonts w:ascii="Arial Black" w:hAnsi="Arial Black"/>
                  </w:rPr>
                  <w:t xml:space="preserve">H-55A, Street#108, I-8/4 </w:t>
                </w:r>
                <w:r>
                  <w:rPr>
                    <w:rFonts w:ascii="Arial Black" w:hAnsi="Arial Black"/>
                  </w:rPr>
                  <w:br/>
                </w:r>
                <w:r w:rsidRPr="00BD66A9">
                  <w:rPr>
                    <w:rFonts w:ascii="Arial Black" w:hAnsi="Arial Black"/>
                  </w:rPr>
                  <w:t>Islamabad</w:t>
                </w:r>
                <w:r>
                  <w:rPr>
                    <w:rFonts w:ascii="Arial Black" w:hAnsi="Arial Black"/>
                  </w:rPr>
                  <w:br/>
                </w:r>
                <w:r w:rsidRPr="00BD66A9">
                  <w:rPr>
                    <w:rFonts w:ascii="Arial Black" w:hAnsi="Arial Black"/>
                  </w:rPr>
                  <w:t>Zip: 44000</w:t>
                </w:r>
              </w:p>
            </w:sdtContent>
          </w:sdt>
        </w:tc>
        <w:tc>
          <w:tcPr>
            <w:tcW w:w="1150" w:type="pct"/>
            <w:vAlign w:val="center"/>
          </w:tcPr>
          <w:p w:rsidR="003E7E12" w:rsidRDefault="003E7E12" w:rsidP="00466082">
            <w:pPr>
              <w:pStyle w:val="NoSpacing"/>
              <w:ind w:left="0" w:right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9A2233A" wp14:editId="3C2E492E">
                  <wp:extent cx="1308735" cy="1040277"/>
                  <wp:effectExtent l="0" t="0" r="5715" b="7620"/>
                  <wp:docPr id="22" name="Picture 22" descr="http://pic.made-in-china.com/0f0j00sviaRwQnhWGV/Ibex-International-Private-Limited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.made-in-china.com/0f0j00sviaRwQnhWGV/Ibex-International-Private-Limited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285" cy="1045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EDE" w:rsidRPr="00C43EDE" w:rsidRDefault="00C43EDE" w:rsidP="00C43EDE">
      <w:pPr>
        <w:pStyle w:val="Title"/>
        <w:jc w:val="center"/>
        <w:rPr>
          <w:rFonts w:ascii="Arial Black" w:hAnsi="Arial Black"/>
          <w:color w:val="5B9BD5" w:themeColor="accent1"/>
          <w:kern w:val="0"/>
          <w:sz w:val="44"/>
          <w:szCs w:val="36"/>
          <w:u w:val="single"/>
        </w:rPr>
      </w:pPr>
      <w:r w:rsidRPr="00C43EDE">
        <w:rPr>
          <w:rFonts w:ascii="Arial Black" w:hAnsi="Arial Black"/>
          <w:color w:val="5B9BD5" w:themeColor="accent1"/>
          <w:kern w:val="0"/>
          <w:sz w:val="44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810B81" wp14:editId="30A34289">
                <wp:simplePos x="0" y="0"/>
                <wp:positionH relativeFrom="leftMargin">
                  <wp:align>right</wp:align>
                </wp:positionH>
                <wp:positionV relativeFrom="margin">
                  <wp:posOffset>1662430</wp:posOffset>
                </wp:positionV>
                <wp:extent cx="1005840" cy="4105275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10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E12" w:rsidRDefault="003E7E12" w:rsidP="003E7E12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10B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130.9pt;width:79.2pt;height:323.25pt;z-index:-2516572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3E7E12" w:rsidRDefault="003E7E12" w:rsidP="003E7E12">
                      <w:pPr>
                        <w:pStyle w:val="Title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43EDE">
        <w:rPr>
          <w:rFonts w:ascii="Arial Black" w:hAnsi="Arial Black"/>
          <w:color w:val="5B9BD5" w:themeColor="accent1"/>
          <w:kern w:val="0"/>
          <w:sz w:val="44"/>
          <w:szCs w:val="36"/>
          <w:u w:val="single"/>
        </w:rPr>
        <w:t>IT Security Assessment</w:t>
      </w:r>
    </w:p>
    <w:p w:rsidR="003E7E12" w:rsidRDefault="003E7E12" w:rsidP="003E7E12">
      <w:pPr>
        <w:tabs>
          <w:tab w:val="left" w:pos="1695"/>
        </w:tabs>
      </w:pPr>
    </w:p>
    <w:p w:rsidR="003E7E12" w:rsidRDefault="003E7E12" w:rsidP="003E7E12">
      <w:pPr>
        <w:tabs>
          <w:tab w:val="left" w:pos="1695"/>
        </w:tabs>
        <w:rPr>
          <w:rFonts w:ascii="Arial Black" w:eastAsiaTheme="majorEastAsia" w:hAnsi="Arial Black" w:cstheme="majorBidi"/>
          <w:color w:val="5B9BD5" w:themeColor="accent1"/>
          <w:sz w:val="24"/>
          <w:szCs w:val="36"/>
        </w:rPr>
      </w:pPr>
      <w:r w:rsidRPr="003E7E12">
        <w:rPr>
          <w:rFonts w:ascii="Arial Black" w:eastAsiaTheme="majorEastAsia" w:hAnsi="Arial Black" w:cstheme="majorBidi"/>
          <w:color w:val="5B9BD5" w:themeColor="accent1"/>
          <w:sz w:val="24"/>
          <w:szCs w:val="36"/>
        </w:rPr>
        <w:t>ASSESSING YOUR PEOPLE, PROCESSES, AND TECHNOLOGY</w:t>
      </w:r>
      <w:bookmarkStart w:id="0" w:name="_GoBack"/>
      <w:bookmarkEnd w:id="0"/>
    </w:p>
    <w:p w:rsidR="003E7E12" w:rsidRPr="003E7E12" w:rsidRDefault="003E7E12" w:rsidP="003E7E12">
      <w:p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3E7E12">
        <w:rPr>
          <w:rFonts w:ascii="Arial" w:eastAsiaTheme="majorEastAsia" w:hAnsi="Arial" w:cs="Arial"/>
          <w:kern w:val="28"/>
          <w:sz w:val="24"/>
          <w:szCs w:val="24"/>
        </w:rPr>
        <w:t>Your IT GRC program must address more than just the physical network. It should be designed to p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rotect the entirety of your IT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infrastructure and processes against both technical and human vulnerabilities. This means a security assessment should e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xtend well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beyond conventional network vulnerability scanning.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Ibex International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 offers the kind of comprehensiv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e security assessment that can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identify vulnerabilities and determine the adequacy of your existing security controls and best practices.</w:t>
      </w:r>
    </w:p>
    <w:p w:rsidR="003E7E12" w:rsidRPr="003E7E12" w:rsidRDefault="003E7E12" w:rsidP="003E7E12">
      <w:pPr>
        <w:tabs>
          <w:tab w:val="left" w:pos="1695"/>
        </w:tabs>
        <w:rPr>
          <w:rFonts w:ascii="Arial Black" w:eastAsiaTheme="majorEastAsia" w:hAnsi="Arial Black" w:cstheme="majorBidi"/>
          <w:color w:val="5B9BD5" w:themeColor="accent1"/>
          <w:sz w:val="24"/>
          <w:szCs w:val="36"/>
        </w:rPr>
      </w:pPr>
      <w:r w:rsidRPr="003E7E12">
        <w:rPr>
          <w:rFonts w:ascii="Arial Black" w:eastAsiaTheme="majorEastAsia" w:hAnsi="Arial Black" w:cstheme="majorBidi"/>
          <w:color w:val="5B9BD5" w:themeColor="accent1"/>
          <w:sz w:val="24"/>
          <w:szCs w:val="36"/>
        </w:rPr>
        <w:t>THE COMPLIANCE OVERVIEW</w:t>
      </w:r>
    </w:p>
    <w:p w:rsidR="003E7E12" w:rsidRDefault="003E7E12" w:rsidP="003E7E12">
      <w:p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3E7E12">
        <w:rPr>
          <w:rFonts w:ascii="Arial" w:eastAsiaTheme="majorEastAsia" w:hAnsi="Arial" w:cs="Arial"/>
          <w:kern w:val="28"/>
          <w:sz w:val="24"/>
          <w:szCs w:val="24"/>
        </w:rPr>
        <w:t>If your organization is subject to IT security mandates such as FDIC, GLBA, HIPAA, HITECH, NCUA, OCC,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 and PCI DSS, you are required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to have independent third-party testing of your information security program to identify vulnerabilities tha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t could result in unauthorized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disclosure, misuse, alteration, or destruction of confidential information, including Non-Public Pe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rsonal Information (NPPI). The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recommended best practices methodology is a security assessment that incorporates testing of both techn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ical and human vulnerabilities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related to your information security program.</w:t>
      </w:r>
    </w:p>
    <w:p w:rsidR="003E7E12" w:rsidRPr="003E7E12" w:rsidRDefault="003E7E12" w:rsidP="003E7E12">
      <w:pPr>
        <w:tabs>
          <w:tab w:val="left" w:pos="1695"/>
        </w:tabs>
        <w:rPr>
          <w:rFonts w:ascii="Arial Black" w:eastAsiaTheme="majorEastAsia" w:hAnsi="Arial Black" w:cstheme="majorBidi"/>
          <w:color w:val="5B9BD5" w:themeColor="accent1"/>
          <w:sz w:val="24"/>
          <w:szCs w:val="36"/>
        </w:rPr>
      </w:pPr>
      <w:r w:rsidRPr="003E7E12">
        <w:rPr>
          <w:rFonts w:ascii="Arial Black" w:eastAsiaTheme="majorEastAsia" w:hAnsi="Arial Black" w:cstheme="majorBidi"/>
          <w:color w:val="5B9BD5" w:themeColor="accent1"/>
          <w:sz w:val="24"/>
          <w:szCs w:val="36"/>
        </w:rPr>
        <w:t>THE TRACESECURITY SECURITY ASSESSMENT OVERVIEW</w:t>
      </w:r>
    </w:p>
    <w:p w:rsidR="003E7E12" w:rsidRDefault="003E7E12" w:rsidP="003E7E12">
      <w:p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3E7E12">
        <w:rPr>
          <w:rFonts w:ascii="Arial" w:eastAsiaTheme="majorEastAsia" w:hAnsi="Arial" w:cs="Arial"/>
          <w:kern w:val="28"/>
          <w:sz w:val="24"/>
          <w:szCs w:val="24"/>
        </w:rPr>
        <w:t>Our security assessments are designed specifically to meet regulatory requirements and address the need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s of any size organization. To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determine the adequacy of your existing security controls and to identify security deficiencies, our seasoned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 security experts will conduct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a thorough examination of your IT infrastructure. The assessment includes manual false positive reduct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ion services and vulnerability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analysis to determine severi</w:t>
      </w:r>
      <w:r>
        <w:rPr>
          <w:rFonts w:ascii="Arial" w:eastAsiaTheme="majorEastAsia" w:hAnsi="Arial" w:cs="Arial"/>
          <w:kern w:val="28"/>
          <w:sz w:val="24"/>
          <w:szCs w:val="24"/>
        </w:rPr>
        <w:t>ty, and a best-practice review.</w:t>
      </w:r>
    </w:p>
    <w:p w:rsidR="003E7E12" w:rsidRDefault="003E7E12" w:rsidP="003E7E12">
      <w:p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</w:p>
    <w:p w:rsidR="003E7E12" w:rsidRDefault="003E7E12" w:rsidP="003E7E12">
      <w:p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3E7E12">
        <w:rPr>
          <w:rFonts w:ascii="Arial" w:eastAsiaTheme="majorEastAsia" w:hAnsi="Arial" w:cs="Arial"/>
          <w:kern w:val="28"/>
          <w:sz w:val="24"/>
          <w:szCs w:val="24"/>
        </w:rPr>
        <w:lastRenderedPageBreak/>
        <w:t>The assessment process is managed through the company’s cloud-based software solution, Trace</w:t>
      </w:r>
      <w:r w:rsidR="0024196D">
        <w:rPr>
          <w:rFonts w:ascii="Arial" w:eastAsiaTheme="majorEastAsia" w:hAnsi="Arial" w:cs="Arial"/>
          <w:kern w:val="28"/>
          <w:sz w:val="24"/>
          <w:szCs w:val="24"/>
        </w:rPr>
        <w:t xml:space="preserve">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 xml:space="preserve">CSO, 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allowing you convenient access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to a variety of tools that can be used to continuously assess the three core components of your informat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ion security program – people, </w:t>
      </w:r>
      <w:r w:rsidRPr="003E7E12">
        <w:rPr>
          <w:rFonts w:ascii="Arial" w:eastAsiaTheme="majorEastAsia" w:hAnsi="Arial" w:cs="Arial"/>
          <w:kern w:val="28"/>
          <w:sz w:val="24"/>
          <w:szCs w:val="24"/>
        </w:rPr>
        <w:t>processes, and technology.</w:t>
      </w:r>
    </w:p>
    <w:p w:rsidR="0024196D" w:rsidRPr="0024196D" w:rsidRDefault="0024196D" w:rsidP="003E7E12">
      <w:pPr>
        <w:tabs>
          <w:tab w:val="left" w:pos="1695"/>
        </w:tabs>
        <w:rPr>
          <w:rFonts w:ascii="Arial" w:eastAsiaTheme="majorEastAsia" w:hAnsi="Arial" w:cs="Arial"/>
          <w:b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b/>
          <w:kern w:val="28"/>
          <w:sz w:val="24"/>
          <w:szCs w:val="24"/>
        </w:rPr>
        <w:t>A security assessment that is conducted remotely includes:</w:t>
      </w:r>
    </w:p>
    <w:p w:rsidR="003E7E12" w:rsidRPr="0024196D" w:rsidRDefault="003E7E12" w:rsidP="0024196D">
      <w:pPr>
        <w:pStyle w:val="ListParagraph"/>
        <w:numPr>
          <w:ilvl w:val="0"/>
          <w:numId w:val="2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Internal and external port scan </w:t>
      </w:r>
    </w:p>
    <w:p w:rsidR="003E7E12" w:rsidRPr="0024196D" w:rsidRDefault="003E7E12" w:rsidP="0024196D">
      <w:pPr>
        <w:pStyle w:val="ListParagraph"/>
        <w:numPr>
          <w:ilvl w:val="0"/>
          <w:numId w:val="2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Internal and external network vulnerability scan </w:t>
      </w:r>
    </w:p>
    <w:p w:rsidR="003E7E12" w:rsidRPr="0024196D" w:rsidRDefault="003E7E12" w:rsidP="0024196D">
      <w:pPr>
        <w:pStyle w:val="ListParagraph"/>
        <w:numPr>
          <w:ilvl w:val="0"/>
          <w:numId w:val="2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Asset classification assistance </w:t>
      </w:r>
    </w:p>
    <w:p w:rsidR="003E7E12" w:rsidRPr="0024196D" w:rsidRDefault="003E7E12" w:rsidP="0024196D">
      <w:pPr>
        <w:pStyle w:val="ListParagraph"/>
        <w:numPr>
          <w:ilvl w:val="0"/>
          <w:numId w:val="2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proofErr w:type="spellStart"/>
      <w:r w:rsidRPr="0024196D">
        <w:rPr>
          <w:rFonts w:ascii="Arial" w:eastAsiaTheme="majorEastAsia" w:hAnsi="Arial" w:cs="Arial"/>
          <w:kern w:val="28"/>
          <w:sz w:val="24"/>
          <w:szCs w:val="24"/>
        </w:rPr>
        <w:t>TraceCSO</w:t>
      </w:r>
      <w:proofErr w:type="spellEnd"/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 setup, implementation and access to vulnerability management, ticketing, and reporting capabilities</w:t>
      </w:r>
    </w:p>
    <w:p w:rsidR="003E7E12" w:rsidRPr="0024196D" w:rsidRDefault="003E7E12" w:rsidP="0024196D">
      <w:pPr>
        <w:pStyle w:val="ListParagraph"/>
        <w:numPr>
          <w:ilvl w:val="0"/>
          <w:numId w:val="2"/>
        </w:numPr>
        <w:tabs>
          <w:tab w:val="left" w:pos="1695"/>
        </w:tabs>
        <w:rPr>
          <w:rFonts w:ascii="Arial" w:eastAsiaTheme="majorEastAsia" w:hAnsi="Arial" w:cs="Arial"/>
          <w:b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>Network vulnerability review (false-positive reduction of scan data through a manual third-party review)to a variety of tools that can be used to continuously assess the three core components of your informat</w:t>
      </w:r>
      <w:r w:rsidR="0024196D"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ion security program – people, </w:t>
      </w:r>
      <w:r w:rsidRPr="0024196D">
        <w:rPr>
          <w:rFonts w:ascii="Arial" w:eastAsiaTheme="majorEastAsia" w:hAnsi="Arial" w:cs="Arial"/>
          <w:kern w:val="28"/>
          <w:sz w:val="24"/>
          <w:szCs w:val="24"/>
        </w:rPr>
        <w:t>processes, and technology.</w:t>
      </w:r>
    </w:p>
    <w:p w:rsidR="0024196D" w:rsidRDefault="0024196D" w:rsidP="0024196D">
      <w:pPr>
        <w:tabs>
          <w:tab w:val="left" w:pos="1695"/>
        </w:tabs>
        <w:rPr>
          <w:rFonts w:ascii="Arial" w:eastAsiaTheme="majorEastAsia" w:hAnsi="Arial" w:cs="Arial"/>
          <w:b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b/>
          <w:kern w:val="28"/>
          <w:sz w:val="24"/>
          <w:szCs w:val="24"/>
        </w:rPr>
        <w:t>A Comprehensive Security Assessment (CSA) includes these additional services:</w:t>
      </w:r>
    </w:p>
    <w:p w:rsidR="0024196D" w:rsidRPr="0024196D" w:rsidRDefault="0024196D" w:rsidP="0024196D">
      <w:p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proofErr w:type="spellStart"/>
      <w:r w:rsidRPr="0024196D">
        <w:rPr>
          <w:rFonts w:ascii="Arial" w:eastAsiaTheme="majorEastAsia" w:hAnsi="Arial" w:cs="Arial"/>
          <w:kern w:val="28"/>
          <w:sz w:val="24"/>
          <w:szCs w:val="24"/>
        </w:rPr>
        <w:t>TraceCSO</w:t>
      </w:r>
      <w:proofErr w:type="spellEnd"/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 setup, implementation and access to vulnerability management, compliance, policy, training, ticketing and reporting capabilities</w:t>
      </w:r>
    </w:p>
    <w:p w:rsidR="0024196D" w:rsidRPr="0024196D" w:rsidRDefault="0024196D" w:rsidP="0024196D">
      <w:pPr>
        <w:pStyle w:val="ListParagraph"/>
        <w:numPr>
          <w:ilvl w:val="0"/>
          <w:numId w:val="3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Policy reviews </w:t>
      </w:r>
    </w:p>
    <w:p w:rsidR="0024196D" w:rsidRPr="0024196D" w:rsidRDefault="0024196D" w:rsidP="0024196D">
      <w:pPr>
        <w:pStyle w:val="ListParagraph"/>
        <w:numPr>
          <w:ilvl w:val="0"/>
          <w:numId w:val="3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Policy awareness reviews </w:t>
      </w:r>
    </w:p>
    <w:p w:rsidR="0024196D" w:rsidRPr="0024196D" w:rsidRDefault="0024196D" w:rsidP="0024196D">
      <w:pPr>
        <w:pStyle w:val="ListParagraph"/>
        <w:numPr>
          <w:ilvl w:val="0"/>
          <w:numId w:val="3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In-depth regulatory and/or best practice review </w:t>
      </w:r>
    </w:p>
    <w:p w:rsidR="0024196D" w:rsidRPr="0024196D" w:rsidRDefault="0024196D" w:rsidP="0024196D">
      <w:pPr>
        <w:pStyle w:val="ListParagraph"/>
        <w:numPr>
          <w:ilvl w:val="0"/>
          <w:numId w:val="3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Regulation call to assist with self-assessment </w:t>
      </w:r>
    </w:p>
    <w:p w:rsidR="0024196D" w:rsidRPr="0024196D" w:rsidRDefault="0024196D" w:rsidP="0024196D">
      <w:pPr>
        <w:pStyle w:val="ListParagraph"/>
        <w:numPr>
          <w:ilvl w:val="0"/>
          <w:numId w:val="3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Network topology review </w:t>
      </w:r>
    </w:p>
    <w:p w:rsidR="0024196D" w:rsidRPr="0024196D" w:rsidRDefault="0024196D" w:rsidP="0024196D">
      <w:pPr>
        <w:pStyle w:val="ListParagraph"/>
        <w:numPr>
          <w:ilvl w:val="0"/>
          <w:numId w:val="3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>Internal network vulnerability review</w:t>
      </w:r>
    </w:p>
    <w:p w:rsidR="0024196D" w:rsidRPr="0024196D" w:rsidRDefault="0024196D" w:rsidP="0024196D">
      <w:pPr>
        <w:pStyle w:val="ListParagraph"/>
        <w:numPr>
          <w:ilvl w:val="1"/>
          <w:numId w:val="4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False positive reduction of scan data through manual third-party review </w:t>
      </w:r>
    </w:p>
    <w:p w:rsidR="0024196D" w:rsidRPr="0024196D" w:rsidRDefault="0024196D" w:rsidP="0024196D">
      <w:pPr>
        <w:pStyle w:val="ListParagraph"/>
        <w:numPr>
          <w:ilvl w:val="1"/>
          <w:numId w:val="4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Validation of false positive review through manual third-party analysis </w:t>
      </w:r>
    </w:p>
    <w:p w:rsidR="0024196D" w:rsidRDefault="0024196D" w:rsidP="0024196D">
      <w:pPr>
        <w:pStyle w:val="ListParagraph"/>
        <w:numPr>
          <w:ilvl w:val="1"/>
          <w:numId w:val="4"/>
        </w:numPr>
        <w:tabs>
          <w:tab w:val="left" w:pos="1695"/>
        </w:tabs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>Advanced manual vulnerability analysis to determine vulnerability severity</w:t>
      </w:r>
    </w:p>
    <w:p w:rsidR="0024196D" w:rsidRPr="0024196D" w:rsidRDefault="0024196D" w:rsidP="0024196D">
      <w:pPr>
        <w:tabs>
          <w:tab w:val="left" w:pos="1695"/>
        </w:tabs>
        <w:rPr>
          <w:rFonts w:ascii="Arial" w:eastAsiaTheme="majorEastAsia" w:hAnsi="Arial" w:cs="Arial"/>
          <w:b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b/>
          <w:kern w:val="28"/>
          <w:sz w:val="24"/>
          <w:szCs w:val="24"/>
        </w:rPr>
        <w:t>When conducted onsite, the CSA also includes:</w:t>
      </w:r>
    </w:p>
    <w:p w:rsidR="0024196D" w:rsidRPr="0024196D" w:rsidRDefault="0024196D" w:rsidP="0024196D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Physical security review </w:t>
      </w:r>
    </w:p>
    <w:p w:rsidR="0024196D" w:rsidRPr="0024196D" w:rsidRDefault="0024196D" w:rsidP="0024196D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Dumpster diving at main facility </w:t>
      </w:r>
    </w:p>
    <w:p w:rsidR="003E7E12" w:rsidRDefault="0024196D" w:rsidP="0024196D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>Offsite consultation and remediation strategy</w:t>
      </w:r>
    </w:p>
    <w:p w:rsidR="0024196D" w:rsidRDefault="0024196D" w:rsidP="0024196D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kern w:val="28"/>
          <w:sz w:val="24"/>
          <w:szCs w:val="24"/>
        </w:rPr>
      </w:pPr>
      <w:r>
        <w:rPr>
          <w:rFonts w:ascii="Arial" w:eastAsiaTheme="majorEastAsia" w:hAnsi="Arial" w:cs="Arial"/>
          <w:kern w:val="28"/>
          <w:sz w:val="24"/>
          <w:szCs w:val="24"/>
        </w:rPr>
        <w:t xml:space="preserve">Wireless </w:t>
      </w:r>
      <w:r w:rsidRPr="0024196D">
        <w:rPr>
          <w:rFonts w:ascii="Arial" w:eastAsiaTheme="majorEastAsia" w:hAnsi="Arial" w:cs="Arial"/>
          <w:kern w:val="28"/>
          <w:sz w:val="24"/>
          <w:szCs w:val="24"/>
        </w:rPr>
        <w:t>access point identification, including rogue</w:t>
      </w:r>
    </w:p>
    <w:p w:rsidR="0024196D" w:rsidRPr="0024196D" w:rsidRDefault="0024196D" w:rsidP="0024196D">
      <w:pPr>
        <w:rPr>
          <w:rFonts w:ascii="Arial" w:eastAsiaTheme="majorEastAsia" w:hAnsi="Arial" w:cs="Arial"/>
          <w:b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b/>
          <w:kern w:val="28"/>
          <w:sz w:val="24"/>
          <w:szCs w:val="24"/>
        </w:rPr>
        <w:lastRenderedPageBreak/>
        <w:t>CSA results are provided in an extensive report containing:</w:t>
      </w:r>
    </w:p>
    <w:p w:rsidR="0024196D" w:rsidRP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Project overview </w:t>
      </w:r>
    </w:p>
    <w:p w:rsidR="0024196D" w:rsidRP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Comprehensive security assessment methodology </w:t>
      </w:r>
    </w:p>
    <w:p w:rsidR="0024196D" w:rsidRP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Executive summary </w:t>
      </w:r>
    </w:p>
    <w:p w:rsidR="0024196D" w:rsidRP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>Prioritized inter</w:t>
      </w: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nal and external network risks </w:t>
      </w: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and recommendations </w:t>
      </w:r>
    </w:p>
    <w:p w:rsidR="0024196D" w:rsidRP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Regulatory compliance analysis </w:t>
      </w:r>
    </w:p>
    <w:p w:rsidR="0024196D" w:rsidRP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Information security policy analysis </w:t>
      </w:r>
    </w:p>
    <w:p w:rsidR="0024196D" w:rsidRP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Executive-level PowerPoint of assessment </w:t>
      </w:r>
    </w:p>
    <w:p w:rsidR="0024196D" w:rsidRP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Differential reporting </w:t>
      </w:r>
    </w:p>
    <w:p w:rsidR="0024196D" w:rsidRDefault="0024196D" w:rsidP="0024196D">
      <w:pPr>
        <w:pStyle w:val="ListParagraph"/>
        <w:numPr>
          <w:ilvl w:val="0"/>
          <w:numId w:val="6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kern w:val="28"/>
          <w:sz w:val="24"/>
          <w:szCs w:val="24"/>
        </w:rPr>
        <w:t xml:space="preserve">Appendix </w:t>
      </w:r>
    </w:p>
    <w:p w:rsidR="0024196D" w:rsidRPr="00C43EDE" w:rsidRDefault="0024196D" w:rsidP="0024196D">
      <w:pPr>
        <w:rPr>
          <w:rFonts w:ascii="Arial" w:eastAsiaTheme="majorEastAsia" w:hAnsi="Arial" w:cs="Arial"/>
          <w:b/>
          <w:kern w:val="28"/>
          <w:sz w:val="24"/>
          <w:szCs w:val="24"/>
        </w:rPr>
      </w:pPr>
      <w:r w:rsidRPr="0024196D">
        <w:rPr>
          <w:rFonts w:ascii="Arial" w:eastAsiaTheme="majorEastAsia" w:hAnsi="Arial" w:cs="Arial"/>
          <w:b/>
          <w:kern w:val="28"/>
          <w:sz w:val="24"/>
          <w:szCs w:val="24"/>
        </w:rPr>
        <w:t xml:space="preserve">On-going CSA services, via </w:t>
      </w:r>
      <w:proofErr w:type="spellStart"/>
      <w:r w:rsidRPr="0024196D">
        <w:rPr>
          <w:rFonts w:ascii="Arial" w:eastAsiaTheme="majorEastAsia" w:hAnsi="Arial" w:cs="Arial"/>
          <w:b/>
          <w:kern w:val="28"/>
          <w:sz w:val="24"/>
          <w:szCs w:val="24"/>
        </w:rPr>
        <w:t>TraceCSO</w:t>
      </w:r>
      <w:proofErr w:type="spellEnd"/>
      <w:r w:rsidRPr="0024196D">
        <w:rPr>
          <w:rFonts w:ascii="Arial" w:eastAsiaTheme="majorEastAsia" w:hAnsi="Arial" w:cs="Arial"/>
          <w:b/>
          <w:kern w:val="28"/>
          <w:sz w:val="24"/>
          <w:szCs w:val="24"/>
        </w:rPr>
        <w:t>, include</w:t>
      </w:r>
    </w:p>
    <w:p w:rsidR="0024196D" w:rsidRPr="00C43EDE" w:rsidRDefault="0024196D" w:rsidP="00C43ED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On-demand generation of comprehensive reports </w:t>
      </w:r>
    </w:p>
    <w:p w:rsidR="0024196D" w:rsidRPr="00C43EDE" w:rsidRDefault="0024196D" w:rsidP="00C43ED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Unlimited client-executed scans with thi</w:t>
      </w:r>
      <w:r w:rsidR="00C43EDE"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rd-party remote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false positive validation </w:t>
      </w:r>
    </w:p>
    <w:p w:rsidR="0024196D" w:rsidRPr="00C43EDE" w:rsidRDefault="0024196D" w:rsidP="00C43ED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Regulatory comp</w:t>
      </w:r>
      <w:r w:rsidR="00C43EDE"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liance and security assessment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evaluation metrics through self-assessment </w:t>
      </w:r>
    </w:p>
    <w:p w:rsidR="0024196D" w:rsidRPr="00C43EDE" w:rsidRDefault="0024196D" w:rsidP="00C43ED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Automated p</w:t>
      </w:r>
      <w:r w:rsidR="00C43EDE"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olicy development software and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policy management </w:t>
      </w:r>
    </w:p>
    <w:p w:rsidR="0024196D" w:rsidRDefault="0024196D" w:rsidP="00C43ED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Automated training dev</w:t>
      </w:r>
      <w:r w:rsidR="00C43EDE"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elopment software and training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>management, includin</w:t>
      </w:r>
      <w:r w:rsidR="00C43EDE"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g access to security awareness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>training content</w:t>
      </w:r>
    </w:p>
    <w:p w:rsidR="00C43EDE" w:rsidRDefault="00C43EDE" w:rsidP="00C43EDE">
      <w:pPr>
        <w:rPr>
          <w:rFonts w:ascii="Arial" w:eastAsiaTheme="majorEastAsia" w:hAnsi="Arial" w:cs="Arial"/>
          <w:kern w:val="28"/>
          <w:sz w:val="24"/>
          <w:szCs w:val="24"/>
        </w:rPr>
      </w:pPr>
      <w:proofErr w:type="spellStart"/>
      <w:r w:rsidRPr="00C43EDE">
        <w:rPr>
          <w:rFonts w:ascii="Arial" w:eastAsiaTheme="majorEastAsia" w:hAnsi="Arial" w:cs="Arial"/>
          <w:kern w:val="28"/>
          <w:sz w:val="24"/>
          <w:szCs w:val="24"/>
        </w:rPr>
        <w:t>TraceSecurity</w:t>
      </w:r>
      <w:proofErr w:type="spellEnd"/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 also offers custom security assessment options tailored to your organization’s needs an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d budget, including a security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>assessment that is performed remotely</w:t>
      </w:r>
      <w:r>
        <w:rPr>
          <w:rFonts w:ascii="Arial" w:eastAsiaTheme="majorEastAsia" w:hAnsi="Arial" w:cs="Arial"/>
          <w:kern w:val="28"/>
          <w:sz w:val="24"/>
          <w:szCs w:val="24"/>
        </w:rPr>
        <w:t>.</w:t>
      </w:r>
    </w:p>
    <w:p w:rsidR="00C43EDE" w:rsidRPr="00C43EDE" w:rsidRDefault="00C43EDE" w:rsidP="00C43EDE">
      <w:pPr>
        <w:rPr>
          <w:rFonts w:ascii="Arial Black" w:eastAsiaTheme="majorEastAsia" w:hAnsi="Arial Black" w:cstheme="majorBidi"/>
          <w:color w:val="5B9BD5" w:themeColor="accent1"/>
          <w:sz w:val="24"/>
          <w:szCs w:val="36"/>
        </w:rPr>
      </w:pPr>
      <w:r w:rsidRPr="00C43EDE">
        <w:rPr>
          <w:rFonts w:ascii="Arial Black" w:eastAsiaTheme="majorEastAsia" w:hAnsi="Arial Black" w:cstheme="majorBidi"/>
          <w:color w:val="5B9BD5" w:themeColor="accent1"/>
          <w:sz w:val="24"/>
          <w:szCs w:val="36"/>
        </w:rPr>
        <w:t>YOUR SINGLE SOURCE FOR A FULL RANGE OF IT GRC INFORMATION SECURITY SERVICES</w:t>
      </w:r>
    </w:p>
    <w:p w:rsidR="00C43EDE" w:rsidRDefault="00C43EDE" w:rsidP="00C43EDE">
      <w:p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The complex and constantly-evolving nature of IT GRC (governance, risk and compliance) requires a range of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 experience and expertise that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is nearly impossible for most companies to maintain internally. </w:t>
      </w:r>
      <w:proofErr w:type="spellStart"/>
      <w:r w:rsidRPr="00C43EDE">
        <w:rPr>
          <w:rFonts w:ascii="Arial" w:eastAsiaTheme="majorEastAsia" w:hAnsi="Arial" w:cs="Arial"/>
          <w:kern w:val="28"/>
          <w:sz w:val="24"/>
          <w:szCs w:val="24"/>
        </w:rPr>
        <w:t>TraceSecurity’s</w:t>
      </w:r>
      <w:proofErr w:type="spellEnd"/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 comprehensive suite of inform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ation security services is the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>answer. Our seasoned experts help enhance your security posture, reduce risk, facilitate compliance, and improve op</w:t>
      </w:r>
      <w:r>
        <w:rPr>
          <w:rFonts w:ascii="Arial" w:eastAsiaTheme="majorEastAsia" w:hAnsi="Arial" w:cs="Arial"/>
          <w:kern w:val="28"/>
          <w:sz w:val="24"/>
          <w:szCs w:val="24"/>
        </w:rPr>
        <w:t>erational efficiency.</w:t>
      </w:r>
    </w:p>
    <w:p w:rsidR="00C43EDE" w:rsidRDefault="00C43EDE" w:rsidP="00C43EDE">
      <w:pPr>
        <w:rPr>
          <w:rFonts w:ascii="Arial" w:eastAsiaTheme="majorEastAsia" w:hAnsi="Arial" w:cs="Arial"/>
          <w:kern w:val="28"/>
          <w:sz w:val="24"/>
          <w:szCs w:val="24"/>
        </w:rPr>
      </w:pPr>
      <w:r>
        <w:rPr>
          <w:rFonts w:ascii="Arial" w:eastAsiaTheme="majorEastAsia" w:hAnsi="Arial" w:cs="Arial"/>
          <w:kern w:val="28"/>
          <w:sz w:val="24"/>
          <w:szCs w:val="24"/>
        </w:rPr>
        <w:t xml:space="preserve">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To provide maximum effectiveness, the </w:t>
      </w:r>
      <w:proofErr w:type="spellStart"/>
      <w:r w:rsidRPr="00C43EDE">
        <w:rPr>
          <w:rFonts w:ascii="Arial" w:eastAsiaTheme="majorEastAsia" w:hAnsi="Arial" w:cs="Arial"/>
          <w:kern w:val="28"/>
          <w:sz w:val="24"/>
          <w:szCs w:val="24"/>
        </w:rPr>
        <w:t>TraceSecurity</w:t>
      </w:r>
      <w:proofErr w:type="spellEnd"/>
      <w:r w:rsidRPr="00C43EDE">
        <w:rPr>
          <w:rFonts w:ascii="Arial" w:eastAsiaTheme="majorEastAsia" w:hAnsi="Arial" w:cs="Arial"/>
          <w:kern w:val="28"/>
          <w:sz w:val="24"/>
          <w:szCs w:val="24"/>
        </w:rPr>
        <w:t xml:space="preserve"> information security services listed can be delivered</w:t>
      </w:r>
      <w:r>
        <w:rPr>
          <w:rFonts w:ascii="Arial" w:eastAsiaTheme="majorEastAsia" w:hAnsi="Arial" w:cs="Arial"/>
          <w:kern w:val="28"/>
          <w:sz w:val="24"/>
          <w:szCs w:val="24"/>
        </w:rPr>
        <w:t xml:space="preserve"> in combination with </w:t>
      </w:r>
      <w:proofErr w:type="spellStart"/>
      <w:r>
        <w:rPr>
          <w:rFonts w:ascii="Arial" w:eastAsiaTheme="majorEastAsia" w:hAnsi="Arial" w:cs="Arial"/>
          <w:kern w:val="28"/>
          <w:sz w:val="24"/>
          <w:szCs w:val="24"/>
        </w:rPr>
        <w:t>TraceCSO</w:t>
      </w:r>
      <w:proofErr w:type="spellEnd"/>
      <w:r>
        <w:rPr>
          <w:rFonts w:ascii="Arial" w:eastAsiaTheme="majorEastAsia" w:hAnsi="Arial" w:cs="Arial"/>
          <w:kern w:val="28"/>
          <w:sz w:val="24"/>
          <w:szCs w:val="24"/>
        </w:rPr>
        <w:t xml:space="preserve">, </w:t>
      </w:r>
      <w:r w:rsidRPr="00C43EDE">
        <w:rPr>
          <w:rFonts w:ascii="Arial" w:eastAsiaTheme="majorEastAsia" w:hAnsi="Arial" w:cs="Arial"/>
          <w:kern w:val="28"/>
          <w:sz w:val="24"/>
          <w:szCs w:val="24"/>
        </w:rPr>
        <w:t>our integrated cloud-based IT GRC management platform</w:t>
      </w:r>
      <w:r>
        <w:rPr>
          <w:rFonts w:ascii="Arial" w:eastAsiaTheme="majorEastAsia" w:hAnsi="Arial" w:cs="Arial"/>
          <w:kern w:val="28"/>
          <w:sz w:val="24"/>
          <w:szCs w:val="24"/>
        </w:rPr>
        <w:t>.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lastRenderedPageBreak/>
        <w:t>Security Assessment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Risk Assessment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IT Security Audit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Penetration Testing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Social Engineering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Web Application Testing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Wireless Assessment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Security Training</w:t>
      </w:r>
    </w:p>
    <w:p w:rsidR="00C43EDE" w:rsidRPr="00C43EDE" w:rsidRDefault="00C43EDE" w:rsidP="00C43EDE">
      <w:pPr>
        <w:pStyle w:val="ListParagraph"/>
        <w:numPr>
          <w:ilvl w:val="0"/>
          <w:numId w:val="8"/>
        </w:numPr>
        <w:rPr>
          <w:rFonts w:ascii="Arial" w:eastAsiaTheme="majorEastAsia" w:hAnsi="Arial" w:cs="Arial"/>
          <w:kern w:val="28"/>
          <w:sz w:val="24"/>
          <w:szCs w:val="24"/>
        </w:rPr>
      </w:pPr>
      <w:r w:rsidRPr="00C43EDE">
        <w:rPr>
          <w:rFonts w:ascii="Arial" w:eastAsiaTheme="majorEastAsia" w:hAnsi="Arial" w:cs="Arial"/>
          <w:kern w:val="28"/>
          <w:sz w:val="24"/>
          <w:szCs w:val="24"/>
        </w:rPr>
        <w:t>Advanced Persistent Threat Assessment</w:t>
      </w:r>
    </w:p>
    <w:sectPr w:rsidR="00C43EDE" w:rsidRPr="00C4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B5741"/>
    <w:multiLevelType w:val="hybridMultilevel"/>
    <w:tmpl w:val="39BC4C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7278"/>
    <w:multiLevelType w:val="hybridMultilevel"/>
    <w:tmpl w:val="85B025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57C0"/>
    <w:multiLevelType w:val="hybridMultilevel"/>
    <w:tmpl w:val="535C45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661A"/>
    <w:multiLevelType w:val="hybridMultilevel"/>
    <w:tmpl w:val="6E8C76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71D84"/>
    <w:multiLevelType w:val="hybridMultilevel"/>
    <w:tmpl w:val="112AF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15222"/>
    <w:multiLevelType w:val="hybridMultilevel"/>
    <w:tmpl w:val="4D2CE7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B28F9"/>
    <w:multiLevelType w:val="hybridMultilevel"/>
    <w:tmpl w:val="8A3238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95060"/>
    <w:multiLevelType w:val="hybridMultilevel"/>
    <w:tmpl w:val="4CF4C0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12"/>
    <w:rsid w:val="0024196D"/>
    <w:rsid w:val="003E7E12"/>
    <w:rsid w:val="00420233"/>
    <w:rsid w:val="00C4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6D8A6-6495-458C-8E36-9248294F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E12"/>
    <w:pPr>
      <w:spacing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3E7E12"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sid w:val="003E7E12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val="en-US" w:eastAsia="ja-JP"/>
    </w:rPr>
  </w:style>
  <w:style w:type="paragraph" w:styleId="NoSpacing">
    <w:name w:val="No Spacing"/>
    <w:uiPriority w:val="1"/>
    <w:qFormat/>
    <w:rsid w:val="003E7E12"/>
    <w:pPr>
      <w:spacing w:before="60"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LayoutTable">
    <w:name w:val="Layout Table"/>
    <w:basedOn w:val="TableNormal"/>
    <w:uiPriority w:val="99"/>
    <w:rsid w:val="003E7E12"/>
    <w:pPr>
      <w:spacing w:before="60" w:after="0" w:line="240" w:lineRule="auto"/>
      <w:ind w:left="144" w:right="144"/>
    </w:pPr>
    <w:rPr>
      <w:rFonts w:eastAsiaTheme="minorEastAsia"/>
      <w:color w:val="44546A" w:themeColor="text2"/>
      <w:sz w:val="20"/>
      <w:szCs w:val="20"/>
      <w:lang w:val="en-US" w:eastAsia="ja-JP"/>
    </w:rPr>
    <w:tblPr>
      <w:tblCellMar>
        <w:left w:w="0" w:type="dxa"/>
        <w:right w:w="0" w:type="dxa"/>
      </w:tblCellMar>
    </w:tblPr>
  </w:style>
  <w:style w:type="paragraph" w:customStyle="1" w:styleId="Name">
    <w:name w:val="Name"/>
    <w:basedOn w:val="Normal"/>
    <w:uiPriority w:val="2"/>
    <w:qFormat/>
    <w:rsid w:val="003E7E12"/>
    <w:pPr>
      <w:spacing w:before="60" w:after="60" w:line="240" w:lineRule="auto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ListParagraph">
    <w:name w:val="List Paragraph"/>
    <w:basedOn w:val="Normal"/>
    <w:uiPriority w:val="34"/>
    <w:qFormat/>
    <w:rsid w:val="0024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F259ECB51E40048FEE2483F226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2F4D5-5FCB-4EA6-ADF1-CA1D5425BC3A}"/>
      </w:docPartPr>
      <w:docPartBody>
        <w:p w:rsidR="00000000" w:rsidRDefault="00810465" w:rsidP="00810465">
          <w:pPr>
            <w:pStyle w:val="5DF259ECB51E40048FEE2483F226163F"/>
          </w:pPr>
          <w:r>
            <w:t>[Company Name]</w:t>
          </w:r>
        </w:p>
      </w:docPartBody>
    </w:docPart>
    <w:docPart>
      <w:docPartPr>
        <w:name w:val="1EDD9E0C008048CE9AAEB96828497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225CD-D141-48DA-967B-411CCD2A746A}"/>
      </w:docPartPr>
      <w:docPartBody>
        <w:p w:rsidR="00000000" w:rsidRDefault="00810465" w:rsidP="00810465">
          <w:pPr>
            <w:pStyle w:val="1EDD9E0C008048CE9AAEB968284976C0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65"/>
    <w:rsid w:val="003C5C73"/>
    <w:rsid w:val="0081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259ECB51E40048FEE2483F226163F">
    <w:name w:val="5DF259ECB51E40048FEE2483F226163F"/>
    <w:rsid w:val="00810465"/>
  </w:style>
  <w:style w:type="paragraph" w:customStyle="1" w:styleId="1EDD9E0C008048CE9AAEB968284976C0">
    <w:name w:val="1EDD9E0C008048CE9AAEB968284976C0"/>
    <w:rsid w:val="00810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H-55A, Street#108, I-8/4 
Islamabad
Zip: 44000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Ibex International</Company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Khalid</dc:creator>
  <cp:keywords/>
  <dc:description/>
  <cp:lastModifiedBy>Umer Khalid</cp:lastModifiedBy>
  <cp:revision>1</cp:revision>
  <dcterms:created xsi:type="dcterms:W3CDTF">2016-08-18T10:53:00Z</dcterms:created>
  <dcterms:modified xsi:type="dcterms:W3CDTF">2016-08-18T11:20:00Z</dcterms:modified>
</cp:coreProperties>
</file>