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и-и-задачи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лабораторной работы</w:t>
      </w:r>
    </w:p>
    <w:bookmarkStart w:id="20" w:name="цел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программу на языке Python, которая позволяет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</w:p>
    <w:p>
      <w:pPr>
        <w:pStyle w:val="FirstParagraph"/>
      </w:pPr>
      <w:r>
        <w:t xml:space="preserve">В программе реализован следующий функционал:</w:t>
      </w:r>
      <w:r>
        <w:t xml:space="preserve"> </w:t>
      </w:r>
      <w:r>
        <w:t xml:space="preserve">1. Определить вид шифротекста при известном ключе и известном открытом тексте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1"/>
    <w:p>
      <w:pPr>
        <w:pStyle w:val="CaptionedFigure"/>
      </w:pPr>
      <w:bookmarkStart w:id="24" w:name="fig:01"/>
      <w:r>
        <w:drawing>
          <wp:inline>
            <wp:extent cx="5334000" cy="2339396"/>
            <wp:effectExtent b="0" l="0" r="0" t="0"/>
            <wp:docPr descr="Figure 1: Определить вид шифротекста при известном ключе и известном открытом текст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Определить вид шифротекста при известном ключе и известном открытом тексте</w:t>
      </w:r>
    </w:p>
    <w:bookmarkEnd w:id="0"/>
    <w:p>
      <w:pPr>
        <w:pStyle w:val="BodyText"/>
      </w:pPr>
      <w:r>
        <w:t xml:space="preserve">Для проверки работы функции передадим входную строку и получим данный текст в 16-ой СС, сгенерированный ключ в 16-ой СС, зашифрованный текст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2"/>
    <w:p>
      <w:pPr>
        <w:pStyle w:val="CaptionedFigure"/>
      </w:pPr>
      <w:bookmarkStart w:id="26" w:name="fig:02"/>
      <w:r>
        <w:drawing>
          <wp:inline>
            <wp:extent cx="5300962" cy="1080654"/>
            <wp:effectExtent b="0" l="0" r="0" t="0"/>
            <wp:docPr descr="Figure 2: Работа функции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 функции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3"/>
    <w:p>
      <w:pPr>
        <w:pStyle w:val="CaptionedFigure"/>
      </w:pPr>
      <w:bookmarkStart w:id="28" w:name="fig:03"/>
      <w:r>
        <w:drawing>
          <wp:inline>
            <wp:extent cx="4949269" cy="1886349"/>
            <wp:effectExtent b="0" l="0" r="0" t="0"/>
            <wp:docPr descr="Figure 3: Определение ключ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69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Определение ключа</w:t>
      </w:r>
    </w:p>
    <w:bookmarkEnd w:id="0"/>
    <w:p>
      <w:pPr>
        <w:pStyle w:val="BodyText"/>
      </w:pPr>
      <w:r>
        <w:t xml:space="preserve">Вывод программы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4"/>
    <w:p>
      <w:pPr>
        <w:pStyle w:val="CaptionedFigure"/>
      </w:pPr>
      <w:bookmarkStart w:id="30" w:name="fig:04"/>
      <w:r>
        <w:drawing>
          <wp:inline>
            <wp:extent cx="5262595" cy="1150993"/>
            <wp:effectExtent b="0" l="0" r="0" t="0"/>
            <wp:docPr descr="Figure 4: Работа функции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95" cy="1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Работа функции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Сравнение ключей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2" w:name="fig:05"/>
      <w:r>
        <w:drawing>
          <wp:inline>
            <wp:extent cx="2781566" cy="984738"/>
            <wp:effectExtent b="0" l="0" r="0" t="0"/>
            <wp:docPr descr="Figure 5: 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66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Сравнение ключей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мне удалось освоить на практике применение режима однократного гаммирования</w:t>
      </w:r>
    </w:p>
    <w:bookmarkEnd w:id="34"/>
    <w:bookmarkStart w:id="39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</w:pPr>
      <w:hyperlink r:id="rId35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Rocky Linux</w:t>
        </w:r>
      </w:hyperlink>
    </w:p>
    <w:p>
      <w:pPr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Элементы криптографии</w:t>
        </w:r>
      </w:hyperlink>
    </w:p>
    <w:p>
      <w:pPr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Однократное гаммирование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8" Target="https://bugtraq.ru/library/books/crypto/chapter7/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36" Target="https://rockylinux.org/" TargetMode="External" /><Relationship Type="http://schemas.openxmlformats.org/officeDocument/2006/relationships/hyperlink" Id="rId37" Target="https://studopedia.su/10_105527_elementi-kriptografi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bugtraq.ru/library/books/crypto/chapter7/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36" Target="https://rockylinux.org/" TargetMode="External" /><Relationship Type="http://schemas.openxmlformats.org/officeDocument/2006/relationships/hyperlink" Id="rId37" Target="https://studopedia.su/10_105527_elementi-kriptografi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Голощапова Ирина Борисовна</dc:creator>
  <dc:language>ru-RU</dc:language>
  <cp:keywords/>
  <dcterms:created xsi:type="dcterms:W3CDTF">2023-10-21T10:17:12Z</dcterms:created>
  <dcterms:modified xsi:type="dcterms:W3CDTF">2023-10-21T10:17:12Z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