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Голощапова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bookmarkEnd w:id="21"/>
    <w:bookmarkStart w:id="22" w:name="постановка-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ключе;</w:t>
      </w:r>
    </w:p>
    <w:p>
      <w:pPr>
        <w:pStyle w:val="BodyText"/>
      </w:pPr>
      <w:r>
        <w:t xml:space="preserve">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написания программы использовала язык Python.</w:t>
      </w:r>
      <w:r>
        <w:t xml:space="preserve"> </w:t>
      </w:r>
      <w:r>
        <w:t xml:space="preserve">Для начала импортировала необходимые библиотеки и задала две исходные строки равной длины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1"/>
    <w:p>
      <w:pPr>
        <w:pStyle w:val="CaptionedFigure"/>
      </w:pPr>
      <w:bookmarkStart w:id="24" w:name="fig:01"/>
      <w:r>
        <w:drawing>
          <wp:inline>
            <wp:extent cx="3606444" cy="1732883"/>
            <wp:effectExtent b="0" l="0" r="0" t="0"/>
            <wp:docPr descr="Figure 1: Импорт библиотек и задание исходных данны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44" cy="173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Импорт библиотек и задание исходных данных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Написала функцию, которая определяет вид шифротекстов обеих строк при известном ключе(рис.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FirstParagraph"/>
      </w:pPr>
      <w:r>
        <w:t xml:space="preserve">Функция получает на вход две символьные строки, переводит их в 16-ый форма и генерирует 16-ый ключ.</w:t>
      </w:r>
      <w:r>
        <w:t xml:space="preserve"> </w:t>
      </w:r>
      <w:r>
        <w:t xml:space="preserve">Далее с помощью данного ключа вычисляются шифротексты в 16-ой СС и переводятся в строковый формат.</w:t>
      </w:r>
    </w:p>
    <w:bookmarkStart w:id="0" w:name="fig:02"/>
    <w:p>
      <w:pPr>
        <w:pStyle w:val="CaptionedFigure"/>
      </w:pPr>
      <w:bookmarkStart w:id="26" w:name="fig:02"/>
      <w:r>
        <w:drawing>
          <wp:inline>
            <wp:extent cx="5320145" cy="4297040"/>
            <wp:effectExtent b="0" l="0" r="0" t="0"/>
            <wp:docPr descr="Figure 2: Функция 1 (шифрование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29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Функция 1 (шифрование)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Проверила работу первой функции (рис.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3"/>
    <w:p>
      <w:pPr>
        <w:pStyle w:val="CaptionedFigure"/>
      </w:pPr>
      <w:bookmarkStart w:id="28" w:name="fig:03"/>
      <w:r>
        <w:drawing>
          <wp:inline>
            <wp:extent cx="5334000" cy="1497965"/>
            <wp:effectExtent b="0" l="0" r="0" t="0"/>
            <wp:docPr descr="Figure 3: Работа функции шифрова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Работа функции шифрования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Написала функцию, которая при известных двух шифротекстах и одном открытом тексте находит вид второго открытого текста без ключа 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FirstParagraph"/>
      </w:pPr>
      <w:r>
        <w:t xml:space="preserve">Функция получает на вход две зашифрованные строки и один открытый текст. Далее шифротексты переводятся в 16-ый формат и применяется принцип однократного гаммирования.</w:t>
      </w:r>
      <w:r>
        <w:t xml:space="preserve"> </w:t>
      </w:r>
      <w:r>
        <w:t xml:space="preserve">Находится вид второго сообщения без использования ключа и возвращается расшифрованное сообщение.</w:t>
      </w:r>
    </w:p>
    <w:bookmarkStart w:id="0" w:name="fig:04"/>
    <w:p>
      <w:pPr>
        <w:pStyle w:val="CaptionedFigure"/>
      </w:pPr>
      <w:bookmarkStart w:id="30" w:name="fig:04"/>
      <w:r>
        <w:drawing>
          <wp:inline>
            <wp:extent cx="4859748" cy="3357062"/>
            <wp:effectExtent b="0" l="0" r="0" t="0"/>
            <wp:docPr descr="Figure 4: Функция 2 (расшифровка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48" cy="335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Функция 2 (расшифровка)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Проверила работу функции расшифрования (рис.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5"/>
    <w:p>
      <w:pPr>
        <w:pStyle w:val="CaptionedFigure"/>
      </w:pPr>
      <w:bookmarkStart w:id="32" w:name="fig:05"/>
      <w:r>
        <w:drawing>
          <wp:inline>
            <wp:extent cx="5334000" cy="1465628"/>
            <wp:effectExtent b="0" l="0" r="0" t="0"/>
            <wp:docPr descr="Figure 5: Работа функции расшифрован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5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Работа функции расшифрования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мне удалось 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34"/>
    <w:bookmarkStart w:id="39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6"/>
        </w:numPr>
      </w:pPr>
      <w:hyperlink r:id="rId35">
        <w:r>
          <w:rPr>
            <w:rStyle w:val="Hyperlink"/>
          </w:rPr>
          <w:t xml:space="preserve">Git - система контроля версий</w:t>
        </w:r>
      </w:hyperlink>
    </w:p>
    <w:p>
      <w:pPr>
        <w:numPr>
          <w:ilvl w:val="0"/>
          <w:numId w:val="1006"/>
        </w:numPr>
      </w:pPr>
      <w:hyperlink r:id="rId36">
        <w:r>
          <w:rPr>
            <w:rStyle w:val="Hyperlink"/>
          </w:rPr>
          <w:t xml:space="preserve">Rocky Linux</w:t>
        </w:r>
      </w:hyperlink>
    </w:p>
    <w:p>
      <w:pPr>
        <w:numPr>
          <w:ilvl w:val="0"/>
          <w:numId w:val="1006"/>
        </w:numPr>
      </w:pPr>
      <w:hyperlink r:id="rId37">
        <w:r>
          <w:rPr>
            <w:rStyle w:val="Hyperlink"/>
          </w:rPr>
          <w:t xml:space="preserve">Элементы криптографии</w:t>
        </w:r>
      </w:hyperlink>
    </w:p>
    <w:p>
      <w:pPr>
        <w:numPr>
          <w:ilvl w:val="0"/>
          <w:numId w:val="1006"/>
        </w:numPr>
      </w:pPr>
      <w:hyperlink r:id="rId38">
        <w:r>
          <w:rPr>
            <w:rStyle w:val="Hyperlink"/>
          </w:rPr>
          <w:t xml:space="preserve">Однократное гаммирование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8" Target="https://bugtraq.ru/library/books/crypto/chapter7/" TargetMode="External" /><Relationship Type="http://schemas.openxmlformats.org/officeDocument/2006/relationships/hyperlink" Id="rId35" Target="https://github.com/" TargetMode="External" /><Relationship Type="http://schemas.openxmlformats.org/officeDocument/2006/relationships/hyperlink" Id="rId36" Target="https://rockylinux.org/" TargetMode="External" /><Relationship Type="http://schemas.openxmlformats.org/officeDocument/2006/relationships/hyperlink" Id="rId37" Target="https://studopedia.su/10_105527_elementi-kriptografi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bugtraq.ru/library/books/crypto/chapter7/" TargetMode="External" /><Relationship Type="http://schemas.openxmlformats.org/officeDocument/2006/relationships/hyperlink" Id="rId35" Target="https://github.com/" TargetMode="External" /><Relationship Type="http://schemas.openxmlformats.org/officeDocument/2006/relationships/hyperlink" Id="rId36" Target="https://rockylinux.org/" TargetMode="External" /><Relationship Type="http://schemas.openxmlformats.org/officeDocument/2006/relationships/hyperlink" Id="rId37" Target="https://studopedia.su/10_105527_elementi-kriptografi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Голощапова Ирина Борисовна</dc:creator>
  <dc:language>ru-RU</dc:language>
  <cp:keywords/>
  <dcterms:created xsi:type="dcterms:W3CDTF">2023-10-28T13:08:58Z</dcterms:created>
  <dcterms:modified xsi:type="dcterms:W3CDTF">2023-10-28T13:08:58Z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