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СОДЕРЖАНИЕ</w:t>
      </w:r>
    </w:p>
    <w:p>
      <w:pPr>
        <w:pStyle w:val="Normal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r>
            <w:fldChar w:fldCharType="begin"/>
          </w:r>
          <w:r>
            <w:rPr>
              <w:webHidden/>
              <w:rStyle w:val="Style11"/>
            </w:rPr>
            <w:instrText xml:space="preserve"> TOC \z \o "1-3" \u \h</w:instrText>
          </w:r>
          <w:r>
            <w:rPr>
              <w:webHidden/>
              <w:rStyle w:val="Style11"/>
            </w:rPr>
            <w:fldChar w:fldCharType="separate"/>
          </w:r>
          <w:hyperlink w:anchor="__RefHeading___Toc2440_3202335270">
            <w:r>
              <w:rPr>
                <w:webHidden/>
                <w:rStyle w:val="Style11"/>
              </w:rPr>
              <w:t>Введение</w:t>
              <w:tab/>
              <w:t>5</w:t>
            </w:r>
          </w:hyperlink>
        </w:p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hyperlink w:anchor="__RefHeading___Toc2442_3202335270">
            <w:r>
              <w:rPr>
                <w:webHidden/>
                <w:rStyle w:val="Style11"/>
              </w:rPr>
              <w:t>1 Разработка общей структуры микро-ЭВМ</w:t>
              <w:tab/>
              <w:t>6</w:t>
            </w:r>
          </w:hyperlink>
        </w:p>
        <w:p>
          <w:pPr>
            <w:pStyle w:val="TOC2"/>
            <w:tabs>
              <w:tab w:val="clear" w:pos="567"/>
              <w:tab w:val="clear" w:pos="9344"/>
              <w:tab w:val="right" w:pos="9353" w:leader="dot"/>
            </w:tabs>
            <w:rPr/>
          </w:pPr>
          <w:hyperlink w:anchor="__RefHeading___Toc2444_3202335270">
            <w:r>
              <w:rPr>
                <w:webHidden/>
                <w:rStyle w:val="Style11"/>
              </w:rPr>
              <w:t>1.1 Функциональный состав микро-ЭВМ</w:t>
              <w:tab/>
              <w:t>6</w:t>
            </w:r>
          </w:hyperlink>
        </w:p>
        <w:p>
          <w:pPr>
            <w:pStyle w:val="TOC3"/>
            <w:tabs>
              <w:tab w:val="clear" w:pos="9344"/>
              <w:tab w:val="right" w:pos="9353" w:leader="dot"/>
            </w:tabs>
            <w:rPr/>
          </w:pPr>
          <w:hyperlink w:anchor="__RefHeading___Toc411_3874316665">
            <w:r>
              <w:rPr>
                <w:webHidden/>
                <w:rStyle w:val="Style11"/>
              </w:rPr>
              <w:t>1.1.1 Центральный процессор (ЦП)</w:t>
              <w:tab/>
              <w:t>6</w:t>
            </w:r>
          </w:hyperlink>
        </w:p>
        <w:p>
          <w:pPr>
            <w:pStyle w:val="TOC3"/>
            <w:tabs>
              <w:tab w:val="clear" w:pos="9344"/>
              <w:tab w:val="right" w:pos="9353" w:leader="dot"/>
            </w:tabs>
            <w:rPr/>
          </w:pPr>
          <w:hyperlink w:anchor="__RefHeading___Toc413_3874316665">
            <w:r>
              <w:rPr>
                <w:webHidden/>
                <w:rStyle w:val="Style11"/>
              </w:rPr>
              <w:t>1.1.2 Устройство управления</w:t>
              <w:tab/>
              <w:t>6</w:t>
            </w:r>
          </w:hyperlink>
        </w:p>
        <w:p>
          <w:pPr>
            <w:pStyle w:val="TOC3"/>
            <w:tabs>
              <w:tab w:val="clear" w:pos="9344"/>
              <w:tab w:val="right" w:pos="9353" w:leader="dot"/>
            </w:tabs>
            <w:rPr/>
          </w:pPr>
          <w:hyperlink w:anchor="__RefHeading___Toc415_3874316665">
            <w:r>
              <w:rPr>
                <w:webHidden/>
                <w:rStyle w:val="Style11"/>
              </w:rPr>
              <w:t>1.1.3 АЛУ</w:t>
              <w:tab/>
              <w:t>7</w:t>
            </w:r>
          </w:hyperlink>
        </w:p>
        <w:p>
          <w:pPr>
            <w:pStyle w:val="TOC3"/>
            <w:tabs>
              <w:tab w:val="clear" w:pos="9344"/>
              <w:tab w:val="right" w:pos="9353" w:leader="dot"/>
            </w:tabs>
            <w:rPr/>
          </w:pPr>
          <w:hyperlink w:anchor="__RefHeading___Toc417_3874316665">
            <w:r>
              <w:rPr>
                <w:webHidden/>
                <w:rStyle w:val="Style11"/>
              </w:rPr>
              <w:t>1.1.4 Блок регистров общего назначения (РОН)</w:t>
              <w:tab/>
              <w:t>7</w:t>
            </w:r>
          </w:hyperlink>
        </w:p>
        <w:p>
          <w:pPr>
            <w:pStyle w:val="TOC3"/>
            <w:tabs>
              <w:tab w:val="clear" w:pos="9344"/>
              <w:tab w:val="right" w:pos="9353" w:leader="dot"/>
            </w:tabs>
            <w:rPr/>
          </w:pPr>
          <w:hyperlink w:anchor="__RefHeading___Toc419_3874316665">
            <w:r>
              <w:rPr>
                <w:webHidden/>
                <w:rStyle w:val="Style11"/>
              </w:rPr>
              <w:t>1.1.5 Подсистема памяти</w:t>
              <w:tab/>
              <w:t>8</w:t>
            </w:r>
          </w:hyperlink>
        </w:p>
        <w:p>
          <w:pPr>
            <w:pStyle w:val="TOC3"/>
            <w:tabs>
              <w:tab w:val="clear" w:pos="9344"/>
              <w:tab w:val="right" w:pos="9353" w:leader="dot"/>
            </w:tabs>
            <w:rPr/>
          </w:pPr>
          <w:hyperlink w:anchor="__RefHeading___Toc421_3874316665">
            <w:r>
              <w:rPr>
                <w:webHidden/>
                <w:rStyle w:val="Style11"/>
              </w:rPr>
              <w:t>1.1.6 Конвейер</w:t>
              <w:tab/>
              <w:t>8</w:t>
            </w:r>
          </w:hyperlink>
        </w:p>
        <w:p>
          <w:pPr>
            <w:pStyle w:val="TOC3"/>
            <w:tabs>
              <w:tab w:val="clear" w:pos="9344"/>
              <w:tab w:val="right" w:pos="9353" w:leader="dot"/>
            </w:tabs>
            <w:rPr/>
          </w:pPr>
          <w:hyperlink w:anchor="__RefHeading___Toc423_3874316665">
            <w:r>
              <w:rPr>
                <w:webHidden/>
                <w:rStyle w:val="Style11"/>
              </w:rPr>
              <w:t>1.1.7 Стек</w:t>
              <w:tab/>
              <w:t>9</w:t>
            </w:r>
          </w:hyperlink>
        </w:p>
        <w:p>
          <w:pPr>
            <w:pStyle w:val="TOC3"/>
            <w:tabs>
              <w:tab w:val="clear" w:pos="9344"/>
              <w:tab w:val="right" w:pos="9353" w:leader="dot"/>
            </w:tabs>
            <w:rPr/>
          </w:pPr>
          <w:hyperlink w:anchor="__RefHeading___Toc425_3874316665">
            <w:r>
              <w:rPr>
                <w:webHidden/>
                <w:rStyle w:val="Style11"/>
              </w:rPr>
              <w:t>1.1.8 Контроллер прямого доступа к памяти (КПДП)</w:t>
              <w:tab/>
              <w:t>9</w:t>
            </w:r>
          </w:hyperlink>
        </w:p>
        <w:p>
          <w:pPr>
            <w:pStyle w:val="TOC2"/>
            <w:tabs>
              <w:tab w:val="clear" w:pos="567"/>
              <w:tab w:val="clear" w:pos="9344"/>
              <w:tab w:val="right" w:pos="9353" w:leader="dot"/>
            </w:tabs>
            <w:rPr/>
          </w:pPr>
          <w:hyperlink w:anchor="__RefHeading___Toc427_3874316665">
            <w:r>
              <w:rPr>
                <w:webHidden/>
                <w:rStyle w:val="Style11"/>
              </w:rPr>
              <w:t>1.2 Разработка системы команд</w:t>
              <w:tab/>
              <w:t>9</w:t>
            </w:r>
          </w:hyperlink>
        </w:p>
        <w:p>
          <w:pPr>
            <w:pStyle w:val="TOC3"/>
            <w:tabs>
              <w:tab w:val="clear" w:pos="9344"/>
              <w:tab w:val="right" w:pos="9353" w:leader="dot"/>
            </w:tabs>
            <w:rPr/>
          </w:pPr>
          <w:hyperlink w:anchor="__RefHeading___Toc429_3874316665">
            <w:r>
              <w:rPr>
                <w:webHidden/>
                <w:rStyle w:val="Style11"/>
              </w:rPr>
              <w:t>1.2.1 Архитектура системы команд.</w:t>
              <w:tab/>
              <w:t>10</w:t>
            </w:r>
          </w:hyperlink>
        </w:p>
        <w:p>
          <w:pPr>
            <w:pStyle w:val="TOC2"/>
            <w:tabs>
              <w:tab w:val="clear" w:pos="567"/>
              <w:tab w:val="clear" w:pos="9344"/>
              <w:tab w:val="right" w:pos="9353" w:leader="dot"/>
            </w:tabs>
            <w:rPr/>
          </w:pPr>
          <w:hyperlink w:anchor="__RefHeading___Toc2448_3202335270">
            <w:r>
              <w:rPr>
                <w:webHidden/>
                <w:rStyle w:val="Style11"/>
              </w:rPr>
              <w:t>1.3 Описание взаимодействия всех блоков микро-ЭВМ при выполнении команд программы</w:t>
              <w:tab/>
              <w:t>11</w:t>
            </w:r>
          </w:hyperlink>
          <w:r>
            <w:rPr>
              <w:rStyle w:val="Style11"/>
            </w:rPr>
            <w:fldChar w:fldCharType="end"/>
          </w:r>
        </w:p>
      </w:sdtContent>
    </w:sdt>
    <w:p>
      <w:pPr>
        <w:pStyle w:val="Heading11"/>
        <w:spacing w:before="0" w:after="0"/>
        <w:rPr/>
      </w:pPr>
      <w:r>
        <w:br w:type="page"/>
      </w:r>
      <w:bookmarkStart w:id="0" w:name="__RefHeading___Toc2440_3202335270"/>
      <w:bookmarkStart w:id="1" w:name="_Toc479235946"/>
      <w:bookmarkStart w:id="2" w:name="_Toc479235959"/>
      <w:bookmarkStart w:id="3" w:name="_Toc222072624"/>
      <w:bookmarkEnd w:id="0"/>
      <w:r>
        <w:rPr/>
        <w:t>Введение</w:t>
      </w:r>
      <w:bookmarkEnd w:id="1"/>
      <w:bookmarkEnd w:id="2"/>
      <w:bookmarkEnd w:id="3"/>
    </w:p>
    <w:p>
      <w:pPr>
        <w:pStyle w:val="Normal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tLeast" w:lin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sz w:val="28"/>
          <w:szCs w:val="28"/>
        </w:rPr>
        <w:t>В рамках данного курсового проекта рассматривается проектирование микро-ЭВМ с принстонской архитектурой, ключевой особенностью которой является использование единого массива памяти для хранения как команд, так и данных. Данная архитектура позволяет упростить аппаратную структуру системы за счёт использования общих шин и единого адресного пространства. Для управления доступом к ресурсам системы применяется централизованный параллельный арбитраж шин, обеспечивающий высокую пропускную способность при одновременных запросах от нескольких ведущих устройств.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Разрядность адресной шины составляет 9 бит, что позволяет адресовать до 512 ячеек памяти. Шина данных имеет разрядность 13 бит, что определяет формат обрабатываемых операндов и соответствующих регистров. Внутренняя структура процессора включает 8 регистров общего назначения (РОН), что оптимизирует выполнение вычислений за счёт сокращения циклов обращения к основной памяти и удобства хранения промежуточных данных.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Подсистема памяти базируется на использовании синхронного ПЗУ и синхронного ОЗУ, что требует строгого тактирования сигналов управления. В системе реализован базовый индексный тип адресации со смещением, обеспечивающий гибкость при работе с массивами данных и структурами за счёт вычисления эффективного адреса как суммы базового адреса, индексного регистра и смещения. Для повышения скорости обмена данными предусмотрена кэш-память с коэффициентом ассоциативности k = 4. Замещение строк в кэше осуществляется по алгоритму наименьшего использования (LRU), а синхронизация данных с основной памятью производится по методу флаговой отложенной записи (write-back).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Набор арифметико-логических операций включает команды ADDC, NOT, NXOR, ROR, позволяющие выполнять сложение с переносом, логическое отрицание, логическую операцию XNOR, а также циклический сдвиг вправо. Для реализации алгоритмов с ветвлением используется команда условного перехода JBZ (переход, если результат равен нулю). Эффективность работы конвейера поддерживается схемой предсказания переходов на базе автомата типа A4 и шаблона PC⊕GHR размером 5 бит, что минимизирует простои при обработке инструкций управления.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Архитектура системы также включает: стек объёмом 11 ячеек с направлением роста вверх; конвейерную обработку, обеспечивающую параллелизм на этапах выборки, декодирования и исполнения команд; контроллер прямого доступа к памяти (КПДП), позволяющий разгрузить центральный процессор при интенсивном обмене данными с периферией.</w:t>
      </w:r>
    </w:p>
    <w:p>
      <w:pPr>
        <w:pStyle w:val="Normal"/>
        <w:spacing w:lineRule="atLeast" w:line="0"/>
        <w:jc w:val="both"/>
        <w:rPr>
          <w:szCs w:val="28"/>
        </w:rPr>
      </w:pPr>
      <w:r>
        <w:rPr>
          <w:rFonts w:eastAsia="Times New Roman" w:cs="Times New Roman"/>
          <w:sz w:val="28"/>
          <w:szCs w:val="28"/>
        </w:rPr>
        <w:t>Таким образом, разрабатываемая микро-ЭВМ представляет собой высокопроизводительную систему с механизмами кэширования, предсказания ветвлений и конвейеризации, оптимизированную для реализации на базе современных ПЛИС.</w:t>
      </w:r>
      <w:r>
        <w:br w:type="page"/>
      </w:r>
    </w:p>
    <w:p>
      <w:pPr>
        <w:pStyle w:val="Heading1"/>
        <w:spacing w:before="0" w:after="0"/>
        <w:rPr/>
      </w:pPr>
      <w:bookmarkStart w:id="4" w:name="__RefHeading___Toc2442_3202335270"/>
      <w:bookmarkStart w:id="5" w:name="_Toc222072625"/>
      <w:bookmarkStart w:id="6" w:name="_Toc479235947"/>
      <w:bookmarkStart w:id="7" w:name="_Toc479235960"/>
      <w:bookmarkEnd w:id="4"/>
      <w:r>
        <w:rPr/>
        <w:t>1 </w:t>
      </w:r>
      <w:bookmarkEnd w:id="6"/>
      <w:bookmarkEnd w:id="7"/>
      <w:r>
        <w:rPr/>
        <w:t>Разработка общей структуры микро-ЭВМ</w:t>
      </w:r>
      <w:bookmarkEnd w:id="5"/>
    </w:p>
    <w:p>
      <w:pPr>
        <w:pStyle w:val="Normal"/>
        <w:rPr/>
      </w:pPr>
      <w:r>
        <w:rPr/>
      </w:r>
    </w:p>
    <w:p>
      <w:pPr>
        <w:pStyle w:val="Heading2"/>
        <w:spacing w:lineRule="atLeast" w:line="0"/>
        <w:rPr>
          <w:sz w:val="28"/>
          <w:szCs w:val="28"/>
        </w:rPr>
      </w:pPr>
      <w:bookmarkStart w:id="8" w:name="__RefHeading___Toc2444_3202335270"/>
      <w:bookmarkEnd w:id="8"/>
      <w:r>
        <w:rPr>
          <w:rFonts w:eastAsia="Times New Roman" w:cs="Times New Roman"/>
          <w:b/>
          <w:bCs/>
          <w:sz w:val="28"/>
          <w:szCs w:val="28"/>
        </w:rPr>
        <w:t>1.1 Функциональный состав микро-ЭВМ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Функциональный состав проектируемой микро-ЭВМ определяется архитектурными характеристиками и ориентирован на реализацию вычислительной системы принстонского типа с конвейерной обработкой команд, кэш-памятью, механизмами предсказания переходов и контроллером прямого доступа к памяти. В данном разделе рассматриваются основные функциональные блоки микро-ЭВМ, их назначение и структура.</w:t>
      </w:r>
    </w:p>
    <w:p>
      <w:pPr>
        <w:pStyle w:val="Heading3"/>
        <w:rPr/>
      </w:pPr>
      <w:bookmarkStart w:id="9" w:name="__RefHeading___Toc411_3874316665"/>
      <w:bookmarkEnd w:id="9"/>
      <w:r>
        <w:rPr/>
        <w:t>1.1.1 Центральный процессор (ЦП)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Центральный процессор</w:t>
      </w:r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sz w:val="28"/>
          <w:szCs w:val="28"/>
        </w:rPr>
        <w:t>представляет собой функциональное ядро микро-ЭВМ, осуществляющее выполнение программ и управление вычислительным процессом. В состав процессора входят узлы, непосредственно участвующие в обработке команд и данных.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К структурным элементам ЦП относятся устройство управления (УУ), арифметико-логическое устройство (АЛУ), блок регистров общего назначения, внутренние служебные регистры, а также аппаратные средства конвейерной обработки и предсказания переходов. Перечисленные блоки образуют процессорное ядро и реализуют полный цикл выполнения инструкции: выборку, декодирование, обработку операндов и запись результата.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Стек логически также относится к структуре процессора, поскольку управление им осуществляется с помощью внутреннего регистра указателя стека, а операции PUSH и POP выполняются под контролем устройства управления.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Кэш расположен между центральным процессором и основной памятью и логически относится к процессорному ядру, поскольку работает под управлением ЦП и обслуживает его запросы на чтение и запись.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Подсистема основной памяти (ПЗУ и ОЗУ), система шин с механизмом арбитража и контроллер прямого доступа к памяти не входят в состав центрального процессора, поскольку функционируют как внешние по отношению к нему модули.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Таким образом, центральный процессор представляет собой совокупность вычислительных и управляющих узлов, тогда как память, шины и КПДП формируют инфраструктуру микро-ЭВМ в целом.</w:t>
      </w:r>
    </w:p>
    <w:p>
      <w:pPr>
        <w:pStyle w:val="Heading3"/>
        <w:rPr/>
      </w:pPr>
      <w:bookmarkStart w:id="10" w:name="__RefHeading___Toc413_3874316665"/>
      <w:bookmarkEnd w:id="10"/>
      <w:r>
        <w:rPr/>
        <w:t>1.1.2 Устройство управления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УУ является ключевым координирующим блоком микро-ЭВМ, обеспечивающим согласованную работу всех её функциональных узлов. Оно формирует управляющие сигналы в соответствии с текущей выполняемой командой и организует последовательность операций внутри процессора.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Работа УУ начинается с выборки команды из общей памяти, что характерно для принстонской архитектуры. После считывания инструкции происходит её декодирование. На основании кода операции формируются сигналы, определяющие саму команду, источник и приёмник данных, а также режим работы арифметико-логического устройства.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При выполнении операций пересылки MOV устройство управления обеспечивает передачу данных между регистрами или между регистром и памятью, формируя сигналы чтения и записи.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В случае арифметико-логических команд задаётся соответствующий режим работы АЛУ и организуется запись результата в выбранный регистр с обновлением флагов состояния.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Для стековых операций PUSH и POP устройство управления контролирует изменение указателя стека с учётом направления его роста вверх и синхронизирует обмен данными между стековой областью памяти и регистрами процессора. Также оно управляет доступом к регистрам общего назначения, обеспечивая корректное чтение и запись операндов.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В условиях конвейерной обработки устройство управления распределяет выполнение команд по стадиям, отслеживает возможные конфликты и обрабатывает условные переходы. При этом учитываются сигналы блока предсказания переходов и состояние флагов результата.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Кроме того, устройство управления взаимодействует с кэш-подсистемой и КПДП, обеспечивая согласованность обмена данными и корректное использование системной шины.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Таким образом, устройство управления представляет собой синхронный управляющий автомат, от работы которого зависит целостность, производительность и корректность функционирования всей микро-ЭВМ.</w:t>
      </w:r>
    </w:p>
    <w:p>
      <w:pPr>
        <w:pStyle w:val="Heading3"/>
        <w:rPr/>
      </w:pPr>
      <w:bookmarkStart w:id="11" w:name="__RefHeading___Toc415_3874316665"/>
      <w:bookmarkEnd w:id="11"/>
      <w:r>
        <w:rPr/>
        <w:t>1.1.3 АЛУ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АЛУ</w:t>
      </w:r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sz w:val="28"/>
          <w:szCs w:val="28"/>
        </w:rPr>
        <w:t>предназначено для выполнения преобразований над 13-разрядными данными, что соответствует принятой ширине шины данных и разрядности регистров. Выбор конкретной микрооперации осуществляется по команде от УУ. В соответствии с заданием, АЛУ реализует следующий набор функций: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ADDC – выполнение операции сложения с учётом входного переноса (carry-in);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NOT – побитовое логическое отрицание;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NXOR – логическая операция «исключающее ИЛИ-НЕ» (XNOR) над операндами;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ROR – циклический сдвиг содержимого регистра вправо.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Структурно АЛУ включает арифметический сумматор с цепью переноса для реализации ADDC, логический блок для выполнения побитовых операций NOT и NXOR, а также схему циклического сдвига для ROR. Результаты работы всех подсхем объединяются с помощью мультиплексора, выбирающего требуемый выход в зависимости от кода операции. Полученное значение фиксируется во внутреннем регистре и передаётся либо в блок регистров общего назначения, либо в другие функциональные блоки системы.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Таким образом, АЛУ обеспечивает реализацию базовых операций обработки данных.</w:t>
      </w:r>
    </w:p>
    <w:p>
      <w:pPr>
        <w:pStyle w:val="Heading3"/>
        <w:rPr/>
      </w:pPr>
      <w:bookmarkStart w:id="12" w:name="__RefHeading___Toc417_3874316665"/>
      <w:bookmarkEnd w:id="12"/>
      <w:r>
        <w:rPr/>
        <w:t>1.1.4 Блок регистров общего назначения (РОН)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 xml:space="preserve">Блок регистров общего назначения </w:t>
      </w:r>
      <w:r>
        <w:rPr>
          <w:rFonts w:eastAsia="Times New Roman" w:cs="Times New Roman"/>
          <w:b w:val="false"/>
          <w:bCs w:val="false"/>
          <w:sz w:val="28"/>
          <w:szCs w:val="28"/>
        </w:rPr>
        <w:t>является важнейшим элементом внутреннего исполнительного тракта микро-ЭВМ. Он представляет собой сверхбыструю оперативную память малого объёма, интегрированную непосредственно в структуру процессорного ядра. Основное назначение данного блока – хранение операндов, промежуточных результатов вычислений и адресных компонентов, что позволяет существенно снизить количество обращений к основной синхронной памяти и тем самым повысить общую производительность системы.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Для адресации одного из 8 регистров в поле команды требуется всего 3 бита, что позволяет эффективно использовать ограниченный объём командного слова. Разрядность регистров в 13 бит полностью соответствует ширине шины данных и разрядности АЛУ, исключая необходимость в операциях выравнивания данных.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Таким образом, регистры общего назначения представляют собой быстродействующую внутреннюю память процессора, обеспечивающую локализацию вычислений внутри ядра микро-ЭВМ.</w:t>
      </w:r>
    </w:p>
    <w:p>
      <w:pPr>
        <w:pStyle w:val="Heading3"/>
        <w:rPr/>
      </w:pPr>
      <w:bookmarkStart w:id="13" w:name="__RefHeading___Toc419_3874316665"/>
      <w:bookmarkEnd w:id="13"/>
      <w:r>
        <w:rPr/>
        <w:t>1.1.5 Подсистема памяти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 xml:space="preserve">Подсистема памяти </w:t>
      </w:r>
      <w:r>
        <w:rPr>
          <w:rFonts w:eastAsia="Times New Roman" w:cs="Times New Roman"/>
          <w:b w:val="false"/>
          <w:bCs w:val="false"/>
          <w:sz w:val="28"/>
          <w:szCs w:val="28"/>
        </w:rPr>
        <w:t>построена по принципу единого адресного пространства для команд и данных. Основу составляют синхронное ПЗУ и синхронное ОЗУ, работа которых жёстко привязана к тактовому сигналу, что минимизирует риски временных состязаний. 9-разрядная адресная шина обеспечивает доступ к 512 ячейкам памяти.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Для компенсации разницы в быстродействии процессора и основной памяти используется кэш-память с коэффициентом ассоциативности k = 4. Алгоритм замещения строк – LRU (наименьшего использования). Синхронизация данных с основной памятью осуществляется методом флаговой отложенной записи (write-back): изменённые строки кэша помечаются флагом «грязная» и записываются в ОЗУ только при вытеснении или явном сбросе.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Особенностью подсистемы является поддержка базовой индексной адресации со смещением, требующей суммирования базового адреса, содержимого индексного регистра и константного смещения для получения финального 9-битного указателя.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Таким образом, подсистема памяти представляет собой совокупность синхронных запоминающих устройств и кэш-памяти, обеспечивающих хранение и быстрый доступ к информации.</w:t>
      </w:r>
    </w:p>
    <w:p>
      <w:pPr>
        <w:pStyle w:val="Heading3"/>
        <w:rPr/>
      </w:pPr>
      <w:bookmarkStart w:id="14" w:name="__RefHeading___Toc421_3874316665"/>
      <w:bookmarkEnd w:id="14"/>
      <w:r>
        <w:rPr>
          <w:rFonts w:eastAsia="Times New Roman" w:cs="Times New Roman"/>
          <w:b/>
          <w:bCs/>
          <w:sz w:val="28"/>
          <w:szCs w:val="28"/>
        </w:rPr>
        <w:t xml:space="preserve">1.1.6 </w:t>
      </w:r>
      <w:r>
        <w:rPr>
          <w:rFonts w:eastAsia="Times New Roman" w:cs="Times New Roman"/>
          <w:b/>
          <w:bCs/>
          <w:sz w:val="28"/>
          <w:szCs w:val="28"/>
        </w:rPr>
        <w:t>Конвейер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Для существенного повышения пропускной способности процессорного ядра в архитектуре реализована конвейерная обработка команд.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Конвейер позволяет разделить цикл выполнения каждой инструкции на независимые стадии, такие как выборка из памяти, декодирование и непосредственное исполнение в АЛУ, обеспечивая их одновременную работу над разными командами в каждом такте. Важнейшим дополнением к конвейеру служит блок динамического предсказания переходов, который минимизирует риск возникновения простоев при выполнении команды условного перехода JBZ.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Данный механизм опирается на работу автомата типа А4, представляющего собой четырёхбитный насыщающийся счётчик, и шаблона типа PC⊕GHR размером 5 бит, формируемого побитовой операцией XOR между младшими разрядами счётчика команд (PC) и глобальным регистром истории (GHR). Такой подход позволяет учитывать как текущее местоположение перехода, так и глобальную историю ветвлений, что повышает точность предсказания.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Сочетание этих элементов позволяет системе анализировать результаты предыдущих ветвлений и заранее подготавливать инструкции по наиболее вероятному адресу, что предотвращает очистку конвейера при переходе.</w:t>
      </w:r>
    </w:p>
    <w:p>
      <w:pPr>
        <w:pStyle w:val="Heading3"/>
        <w:rPr/>
      </w:pPr>
      <w:bookmarkStart w:id="15" w:name="__RefHeading___Toc423_3874316665"/>
      <w:bookmarkEnd w:id="15"/>
      <w:r>
        <w:rPr>
          <w:rFonts w:eastAsia="Times New Roman" w:cs="Times New Roman"/>
          <w:b/>
          <w:bCs/>
          <w:sz w:val="28"/>
          <w:szCs w:val="28"/>
        </w:rPr>
        <w:t xml:space="preserve">1.1.7 </w:t>
      </w:r>
      <w:r>
        <w:rPr>
          <w:rFonts w:eastAsia="Times New Roman" w:cs="Times New Roman"/>
          <w:b/>
          <w:bCs/>
          <w:sz w:val="28"/>
          <w:szCs w:val="28"/>
        </w:rPr>
        <w:t>Стек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Организация подпрограмм и временное хранение данных обеспечиваются наличием аппаратного стека объёмом 11 ячеек.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В проектируемой микро-ЭВМ реализован стек с направлением роста вверх, что означает автоматическое увеличение значения указателя стека при выполнении операций записи данных. Указатель стека всегда адресует свободную ячейку или вершину стека в зависимости от логики выполнения команд PUSH и POP. Относительно небольшой объём стековой памяти в одиннадцать слов требует строгого контроля глубины вложенности процедур, однако такой ёмкости достаточно для реализации базовых алгоритмов управления и цифровой обработки сигналов, на которые ориентирована данная система.</w:t>
      </w:r>
    </w:p>
    <w:p>
      <w:pPr>
        <w:pStyle w:val="Heading3"/>
        <w:rPr/>
      </w:pPr>
      <w:bookmarkStart w:id="16" w:name="__RefHeading___Toc425_3874316665"/>
      <w:bookmarkEnd w:id="16"/>
      <w:r>
        <w:rPr>
          <w:rFonts w:eastAsia="Times New Roman" w:cs="Times New Roman"/>
          <w:b/>
          <w:bCs/>
          <w:sz w:val="28"/>
          <w:szCs w:val="28"/>
        </w:rPr>
        <w:t xml:space="preserve">1.1.8 </w:t>
      </w:r>
      <w:r>
        <w:rPr>
          <w:rFonts w:eastAsia="Times New Roman" w:cs="Times New Roman"/>
          <w:b/>
          <w:bCs/>
          <w:sz w:val="28"/>
          <w:szCs w:val="28"/>
        </w:rPr>
        <w:t>Контроллер прямого доступа к памяти (КПДП)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Для эффективного обмена информацией с периферийными устройствами в структуру микро-ЭВМ включён контроллер прямого доступа к памяти (КПДП).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Этот блок позволяет осуществлять высокоскоростную пересылку массивов данных между оперативной памятью и внешними модулями в обход центрального процессора, что освобождает вычислительные ресурсы для выполнения основных задач. Поскольку в принстонской архитектуре используется общая системная магистраль, координация запросов от процессора и КПДП осуществляется с помощью централизованного параллельного арбитража.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Данная схема подразумевает наличие единого арбитра, который одновременно опрашивает все ведущие устройства и предоставляет доступ к шинам наиболее приоритетному из них, обеспечивая высокую скорость реакции и бесконфликтное использование ресурсов системы.</w:t>
      </w:r>
    </w:p>
    <w:p>
      <w:pPr>
        <w:pStyle w:val="Heading2"/>
        <w:rPr/>
      </w:pPr>
      <w:bookmarkStart w:id="17" w:name="__RefHeading___Toc427_3874316665"/>
      <w:bookmarkEnd w:id="17"/>
      <w:r>
        <w:rPr/>
        <w:t>1.2 Разработка системы команд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Система команд проектируемой микро-ЭВМ разработана с учётом специфики 9-разрядного адресного пространства и 13-битной ширины шины данных. Поскольку разрядность ячейки памяти составляет 13 бит, а полный адрес требует 9 бит, в системе реализован формат команд переменной длины, где код операции и адресные части могут занимать несколько последовательных слов памяти. Весь набор инструкций разделён на функциональные группы, включающие операции пересылки данных, арифметико-логические преобразования, команды управления потоком и стековые операции. Операнды могут располагаться в регистрах общего назначения или в основной памяти, доступ к которой осуществляется посредством базовой индексной адресации со смещением.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При реализации базовой индексной адресации со смещением исполнительный адрес формируется как сумма содержимого базового регистра, индексного регистра и константного смещения, что обеспечивает гибкость при работе с массивами данных и сложными структурами. Кодирование инструкций предусматривает использование трёхбитных полей для идентификации каждого из восьми РОН. Группа арифметико-логических команд включает в себя операции сложения с переносом (ADDC), инверсии (NOT), логического XNOR (NXOR) и циклического сдвига вправо (ROR). Управляющие команды представлены безусловным переходом JMP и специализированной командой условного перехода JBZ, работа которой зависит от состояния флага нуля в регистре признаков.</w:t>
      </w:r>
    </w:p>
    <w:p>
      <w:pPr>
        <w:pStyle w:val="Heading3"/>
        <w:rPr/>
      </w:pPr>
      <w:bookmarkStart w:id="18" w:name="__RefHeading___Toc429_3874316665"/>
      <w:bookmarkEnd w:id="18"/>
      <w:r>
        <w:rPr>
          <w:rFonts w:eastAsia="Times New Roman" w:cs="Times New Roman"/>
          <w:b/>
          <w:bCs/>
          <w:sz w:val="28"/>
          <w:szCs w:val="28"/>
        </w:rPr>
        <w:t>1.2.</w:t>
      </w:r>
      <w:r>
        <w:rPr>
          <w:rFonts w:eastAsia="Times New Roman" w:cs="Times New Roman"/>
          <w:b/>
          <w:bCs/>
          <w:sz w:val="28"/>
          <w:szCs w:val="28"/>
        </w:rPr>
        <w:t>1</w:t>
      </w:r>
      <w:r>
        <w:rPr>
          <w:rFonts w:eastAsia="Times New Roman" w:cs="Times New Roman"/>
          <w:b/>
          <w:bCs/>
          <w:sz w:val="28"/>
          <w:szCs w:val="28"/>
        </w:rPr>
        <w:t xml:space="preserve"> Архитектура системы команд.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Она определяется разрядностью шины данных (13 бит), шириной адресного пространства (9 бит) и количеством регистров общего назначения. Поскольку размер слова памяти составляет 13 бит, то и машинная команда также организуется как последовательность 13-битных слов.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Команда в зависимости от инструкции может занимать от 1 до 2 ячеек памяти по 13 бит. КОП занимает 5 бит [12..8], что позволяет закодировать до 32 различных операций. Архитектура системы команд представлена в таблице 1.1.</w:t>
      </w:r>
    </w:p>
    <w:p>
      <w:pPr>
        <w:pStyle w:val="Normal"/>
        <w:spacing w:lineRule="atLeast" w:line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0"/>
        <w:jc w:val="left"/>
        <w:rPr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Таблица 1.1 – Архитектура системы команд</w:t>
      </w:r>
    </w:p>
    <w:tbl>
      <w:tblPr>
        <w:tblW w:w="9345" w:type="dxa"/>
        <w:jc w:val="left"/>
        <w:tblInd w:w="124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65"/>
        <w:gridCol w:w="960"/>
        <w:gridCol w:w="1305"/>
        <w:gridCol w:w="3405"/>
        <w:gridCol w:w="1410"/>
      </w:tblGrid>
      <w:tr>
        <w:trPr>
          <w:tblHeader w:val="true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Мнемоническая запись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КОП [12..8]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Первая часть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Вторая часть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Безразл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.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 биты</w:t>
            </w:r>
          </w:p>
        </w:tc>
      </w:tr>
      <w:tr>
        <w:trPr/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MOV addr, reg1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00001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reg1[8..5]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addr[4..0] (2nd word [8..0])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[3..0]</w:t>
            </w:r>
          </w:p>
        </w:tc>
      </w:tr>
      <w:tr>
        <w:trPr/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MOV reg1, addr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00010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reg1[8..5]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addr[4..0] (2nd word [8..0])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[3..0]</w:t>
            </w:r>
          </w:p>
        </w:tc>
      </w:tr>
      <w:tr>
        <w:trPr/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MOV reg1, const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00011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reg1[8..5]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const[4..0] (2nd word [8..0])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[3..0]</w:t>
            </w:r>
          </w:p>
        </w:tc>
      </w:tr>
      <w:tr>
        <w:trPr/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ADDC reg1, reg2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00100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reg1[8..5]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reg2[4..2]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[1..0]</w:t>
            </w:r>
          </w:p>
        </w:tc>
      </w:tr>
      <w:tr>
        <w:trPr/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ADDC reg1, addr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00101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reg1[8..5]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addr[4..0] (2nd word [8..0])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[3..0]</w:t>
            </w:r>
          </w:p>
        </w:tc>
      </w:tr>
      <w:tr>
        <w:trPr/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NOT reg1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00110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reg1[8..5]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–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[4..0]</w:t>
            </w:r>
          </w:p>
        </w:tc>
      </w:tr>
      <w:tr>
        <w:trPr/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NOT reg1, addr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00111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reg1[8..5]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addr[4..0] (2nd word [8..0])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[3..0]</w:t>
            </w:r>
          </w:p>
        </w:tc>
      </w:tr>
      <w:tr>
        <w:trPr/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NXOR reg1, reg2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01000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reg1[8..5]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reg2[4..2]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[1..0]</w:t>
            </w:r>
          </w:p>
        </w:tc>
      </w:tr>
      <w:tr>
        <w:trPr/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NXOR reg1, addr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01001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reg1[8..5]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addr[4..0] (2nd word [8..0])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[3..0]</w:t>
            </w:r>
          </w:p>
        </w:tc>
      </w:tr>
      <w:tr>
        <w:trPr/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ROR reg1, reg2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01010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reg1[8..5]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reg2[4..2]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[1..0]</w:t>
            </w:r>
          </w:p>
        </w:tc>
      </w:tr>
    </w:tbl>
    <w:p>
      <w:pPr>
        <w:pStyle w:val="BodyText"/>
        <w:rPr/>
      </w:pPr>
      <w:r>
        <w:rPr/>
        <w:t>Продолжение таблицы 1.1</w:t>
      </w:r>
    </w:p>
    <w:tbl>
      <w:tblPr>
        <w:tblW w:w="9345" w:type="dxa"/>
        <w:jc w:val="left"/>
        <w:tblInd w:w="124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65"/>
        <w:gridCol w:w="960"/>
        <w:gridCol w:w="1305"/>
        <w:gridCol w:w="3405"/>
        <w:gridCol w:w="1410"/>
      </w:tblGrid>
      <w:tr>
        <w:trPr>
          <w:tblHeader w:val="true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Мнемоническая запись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КОП [12..8]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Первая часть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Вторая часть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Безразл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.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 биты</w:t>
            </w:r>
          </w:p>
        </w:tc>
      </w:tr>
      <w:tr>
        <w:trPr/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ROR reg1, addr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01011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reg1[8..5]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addr[4..0] (2nd word [8..0])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[3..0]</w:t>
            </w:r>
          </w:p>
        </w:tc>
      </w:tr>
      <w:tr>
        <w:trPr/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PUSH reg1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01100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reg1[8..5]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–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[4..0]</w:t>
            </w:r>
          </w:p>
        </w:tc>
      </w:tr>
      <w:tr>
        <w:trPr/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POP reg1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01101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reg1[8..5]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–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[4..0]</w:t>
            </w:r>
          </w:p>
        </w:tc>
      </w:tr>
      <w:tr>
        <w:trPr/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JMP addr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01110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addr[8..0]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–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[...]</w:t>
            </w:r>
          </w:p>
        </w:tc>
      </w:tr>
      <w:tr>
        <w:trPr/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JBZ addr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01111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addr[8..0]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–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[...]</w:t>
            </w:r>
          </w:p>
        </w:tc>
      </w:tr>
      <w:tr>
        <w:trPr/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HLT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–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–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[8..0]</w:t>
            </w:r>
          </w:p>
        </w:tc>
      </w:tr>
    </w:tbl>
    <w:p>
      <w:pPr>
        <w:pStyle w:val="Normal"/>
        <w:spacing w:lineRule="atLeast" w:line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spacing w:lineRule="atLeast" w:line="0" w:before="0" w:after="60"/>
        <w:rPr>
          <w:sz w:val="28"/>
          <w:szCs w:val="28"/>
        </w:rPr>
      </w:pPr>
      <w:bookmarkStart w:id="19" w:name="__RefHeading___Toc2448_3202335270"/>
      <w:bookmarkEnd w:id="19"/>
      <w:r>
        <w:rPr>
          <w:rFonts w:eastAsia="Times New Roman" w:cs="Times New Roman"/>
          <w:b/>
          <w:bCs/>
          <w:sz w:val="28"/>
          <w:szCs w:val="28"/>
        </w:rPr>
        <w:t>1.3 Описание взаимодействия всех блоков микро-ЭВМ при выполнении команд программы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Функционирование проектируемой микро-ЭВМ представляет собой строго синхронизированный процесс взаимодействия аппаратных модулей, координируемый устройством управления. В основе работы системы лежит цикл выполнения команды, который в условиях принстонской архитектуры и конвейерной обработки распределяется по нескольким стадиям. На начальном этапе счётчик команд выставляет 9-битный адрес на системную шину. Устройство управления инициирует цикл чтения, при котором код операции извлекается из синхронной памяти или кэша. Благодаря использованию кэш-памяти с ассоциативностью k=4 и алгоритмом замещения LRU, значительно сокращается время ожидания данных, так как наиболее часто используемые инструкции оказываются доступны процессору без обращения к основному ОЗУ. Метод флаговой отложенной записи обеспечивает когерентность данных между кэшем и ОЗУ с минимальными задержками.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После выборки команда поступает в дешифратор устройства управления. Если микро-ЭВМ сталкивается с базовой индексной адресацией со смещением, взаимодействие блоков усложняется: УУ активирует считывание значений из двух регистров общего назначения, выполняющих роли базы и индекса. Эти значения вместе с константным смещением подаются на вход АЛУ или специализированного сумматора адресов для формирования финального исполнительного адреса в 9-битной сетке. Только после этого происходит повторное обращение к памяти для извлечения фактического операнда. В случае использования прямой регистровой адресации данные извлекаются мгновенно из блока РОН, что ускоряет выполнение таких команд, как ADDC, NOT или NXOR.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Особую роль во взаимодействии блоков играет конвейер и связанная с ним схема предсказания переходов. При обнаружении в потоке команд инструкции условного перехода JBZ блок предсказания на основе 5-битного шаблона PC⊕GHR и автомата А4 анализирует вероятность перехода. Автомат А4 является четырёхбитным насыщающимся счётчиком с четырьмя состояниями устойчивого предсказания, что обеспечивает повышенную инерционность и точность прогноза по сравнению с двухбитными схемами. Это позволяет устройству управления не останавливать конвейер, а продолжать выборку инструкций по предполагаемому адресу. Если после фактического исполнения команды в АЛУ флаг нуля подтверждает правильность прогноза, конвейер продолжает работу без потерь. В случае ошибки предсказания УУ инициирует сброс неверно считанных стадий и перезагрузку конвейера по корректному адресу.</w:t>
      </w:r>
    </w:p>
    <w:p>
      <w:pPr>
        <w:pStyle w:val="Normal"/>
        <w:spacing w:lineRule="atLeast" w:line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Завершающим этапом взаимодействия является фиксация результата операции и работа контроллера прямого доступа к памяти. Полученные в АЛУ 13-битные данные направляются в целевой регистр или обратно в память. Если в этот момент внешнее устройство инициирует обмен через КПДП, централизованный параллельный арбитр опрашивает все ведущие устройства одновременно и предоставляет доступ к шине наиболее приоритетному устройству. КПДП получает управление и осуществляет передачу данных, после чего возвращает контроль устройству управления. Вся система синхронизируется единым тактовым сигналом, что обеспечивает бесконфликтную работу кэша, основной памяти и исполнительных узлов процессора в рамках единого адресного пространства.</w:t>
      </w:r>
    </w:p>
    <w:p>
      <w:pPr>
        <w:pStyle w:val="Normal"/>
        <w:spacing w:lineRule="atLeast" w:line="0"/>
        <w:ind w:firstLine="709"/>
        <w:jc w:val="both"/>
        <w:rPr>
          <w:color w:val="7030A0"/>
        </w:rPr>
      </w:pPr>
      <w:r>
        <w:rPr>
          <w:color w:val="7030A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851" w:gutter="0" w:header="567" w:top="1134" w:footer="567" w:bottom="1134"/>
      <w:pgNumType w:start="4"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29198254"/>
    </w:sdtPr>
    <w:sdtContent>
      <w:p>
        <w:pPr>
          <w:pStyle w:val="Footer"/>
          <w:jc w:val="right"/>
          <w:rPr>
            <w:rFonts w:cs="Times New Roman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12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85b3e"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721e"/>
    <w:pPr>
      <w:ind w:hanging="227" w:left="936"/>
      <w:outlineLvl w:val="0"/>
    </w:pPr>
    <w:rPr>
      <w:rFonts w:cs="Times New Roman"/>
      <w:b/>
      <w:bCs/>
      <w:cap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721e"/>
    <w:pPr>
      <w:keepNext w:val="true"/>
      <w:keepLines/>
      <w:tabs>
        <w:tab w:val="clear" w:pos="708"/>
        <w:tab w:val="left" w:pos="1134" w:leader="none"/>
      </w:tabs>
      <w:ind w:hanging="425" w:left="1134"/>
      <w:outlineLvl w:val="1"/>
    </w:pPr>
    <w:rPr>
      <w:rFonts w:eastAsia="" w:cs="Times New Roman" w:eastAsiaTheme="majorEastAsia"/>
      <w:b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1fb5"/>
    <w:pPr>
      <w:keepNext w:val="true"/>
      <w:keepLines/>
      <w:ind w:firstLine="708"/>
      <w:outlineLvl w:val="2"/>
    </w:pPr>
    <w:rPr>
      <w:rFonts w:eastAsia="" w:cs="Times New Roman" w:eastAsiaTheme="majorEastAsia"/>
      <w:b/>
      <w:bCs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1b721e"/>
    <w:rPr>
      <w:rFonts w:ascii="Times New Roman" w:hAnsi="Times New Roman" w:cs="Times New Roman"/>
      <w:b/>
      <w:bCs/>
      <w:caps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1b721e"/>
    <w:rPr>
      <w:rFonts w:ascii="Times New Roman" w:hAnsi="Times New Roman" w:eastAsia="" w:cs="Times New Roman" w:eastAsiaTheme="majorEastAsia"/>
      <w:b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qFormat/>
    <w:rsid w:val="002f581a"/>
    <w:rPr>
      <w:color w:val="80808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2f581a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40e8c"/>
    <w:rPr>
      <w:b/>
      <w:bCs/>
    </w:rPr>
  </w:style>
  <w:style w:type="character" w:styleId="HeaderChar" w:customStyle="1">
    <w:name w:val="Header Char"/>
    <w:basedOn w:val="DefaultParagraphFont"/>
    <w:uiPriority w:val="99"/>
    <w:qFormat/>
    <w:rsid w:val="00eb3fce"/>
    <w:rPr/>
  </w:style>
  <w:style w:type="character" w:styleId="FooterChar" w:customStyle="1">
    <w:name w:val="Footer Char"/>
    <w:basedOn w:val="DefaultParagraphFont"/>
    <w:uiPriority w:val="99"/>
    <w:qFormat/>
    <w:rsid w:val="00eb3fce"/>
    <w:rPr/>
  </w:style>
  <w:style w:type="character" w:styleId="NoSpacingChar" w:customStyle="1">
    <w:name w:val="No Spacing Char"/>
    <w:basedOn w:val="DefaultParagraphFont"/>
    <w:link w:val="NoSpacing"/>
    <w:uiPriority w:val="1"/>
    <w:qFormat/>
    <w:rsid w:val="00657727"/>
    <w:rPr>
      <w:rFonts w:eastAsia="" w:eastAsiaTheme="minorEastAsia"/>
      <w:lang w:eastAsia="ru-RU"/>
    </w:rPr>
  </w:style>
  <w:style w:type="character" w:styleId="1" w:customStyle="1">
    <w:name w:val="Основной шрифт абзаца1"/>
    <w:qFormat/>
    <w:rsid w:val="002455b9"/>
    <w:rPr/>
  </w:style>
  <w:style w:type="character" w:styleId="BodyTextChar" w:customStyle="1">
    <w:name w:val="Body Text Char"/>
    <w:basedOn w:val="DefaultParagraphFont"/>
    <w:qFormat/>
    <w:rsid w:val="002455b9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Hyperlink">
    <w:name w:val="Hyperlink"/>
    <w:uiPriority w:val="99"/>
    <w:unhideWhenUsed/>
    <w:rsid w:val="002455b9"/>
    <w:rPr>
      <w:color w:val="0000FF"/>
      <w:u w:val="single"/>
    </w:rPr>
  </w:style>
  <w:style w:type="character" w:styleId="TitleChar" w:customStyle="1">
    <w:name w:val="Title Char"/>
    <w:basedOn w:val="DefaultParagraphFont"/>
    <w:uiPriority w:val="10"/>
    <w:qFormat/>
    <w:rsid w:val="002455b9"/>
    <w:rPr>
      <w:rFonts w:ascii="Times New Roman" w:hAnsi="Times New Roman" w:eastAsia="Times New Roman" w:cs="Times New Roman"/>
      <w:bCs/>
      <w:kern w:val="2"/>
      <w:sz w:val="28"/>
      <w:szCs w:val="32"/>
      <w:lang w:eastAsia="ru-RU"/>
    </w:rPr>
  </w:style>
  <w:style w:type="character" w:styleId="Emphasis">
    <w:name w:val="Emphasis"/>
    <w:basedOn w:val="DefaultParagraphFont"/>
    <w:uiPriority w:val="20"/>
    <w:qFormat/>
    <w:rsid w:val="00f32408"/>
    <w:rPr>
      <w:i/>
      <w:iCs/>
    </w:rPr>
  </w:style>
  <w:style w:type="character" w:styleId="word" w:customStyle="1">
    <w:name w:val="word"/>
    <w:basedOn w:val="DefaultParagraphFont"/>
    <w:qFormat/>
    <w:rsid w:val="003106cd"/>
    <w:rPr/>
  </w:style>
  <w:style w:type="character" w:styleId="Heading11Char" w:customStyle="1">
    <w:name w:val="Heading 1_1 Char"/>
    <w:basedOn w:val="Heading1Char"/>
    <w:link w:val="Heading11"/>
    <w:qFormat/>
    <w:rsid w:val="007669bd"/>
    <w:rPr>
      <w:rFonts w:ascii="Times New Roman" w:hAnsi="Times New Roman" w:cs="Times New Roman"/>
      <w:b/>
      <w:bCs/>
      <w:caps/>
      <w:sz w:val="28"/>
      <w:szCs w:val="28"/>
    </w:rPr>
  </w:style>
  <w:style w:type="character" w:styleId="Heading3Char" w:customStyle="1">
    <w:name w:val="Heading 3 Char"/>
    <w:basedOn w:val="DefaultParagraphFont"/>
    <w:uiPriority w:val="9"/>
    <w:qFormat/>
    <w:rsid w:val="00901fb5"/>
    <w:rPr>
      <w:rFonts w:ascii="Times New Roman" w:hAnsi="Times New Roman" w:eastAsia="" w:cs="Times New Roman" w:eastAsiaTheme="majorEastAsia"/>
      <w:b/>
      <w:bCs/>
      <w:sz w:val="28"/>
      <w:szCs w:val="28"/>
    </w:rPr>
  </w:style>
  <w:style w:type="character" w:styleId="NormalformulaChar" w:customStyle="1">
    <w:name w:val="Normal_formula Char"/>
    <w:basedOn w:val="DefaultParagraphFont"/>
    <w:link w:val="Normalformula"/>
    <w:qFormat/>
    <w:rsid w:val="00856e59"/>
    <w:rPr>
      <w:rFonts w:ascii="Times New Roman" w:hAnsi="Times New Roman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26c89"/>
    <w:rPr>
      <w:color w:val="605E5C"/>
      <w:shd w:fill="E1DFDD" w:val="clear"/>
    </w:rPr>
  </w:style>
  <w:style w:type="character" w:styleId="ItalicChar" w:customStyle="1">
    <w:name w:val="Italic Char"/>
    <w:basedOn w:val="DefaultParagraphFont"/>
    <w:link w:val="Italic"/>
    <w:qFormat/>
    <w:rsid w:val="00a23d0d"/>
    <w:rPr>
      <w:rFonts w:ascii="Times New Roman" w:hAnsi="Times New Roman"/>
      <w:i/>
      <w:color w:val="000000"/>
      <w:sz w:val="28"/>
      <w:szCs w:val="28"/>
    </w:rPr>
  </w:style>
  <w:style w:type="character" w:styleId="CodeChar" w:customStyle="1">
    <w:name w:val="Code Char"/>
    <w:basedOn w:val="DefaultParagraphFont"/>
    <w:link w:val="Code"/>
    <w:qFormat/>
    <w:rsid w:val="00600bb1"/>
    <w:rPr>
      <w:rFonts w:ascii="Courier New" w:hAnsi="Courier New"/>
      <w:sz w:val="24"/>
      <w:lang w:eastAsia="ru-RU"/>
    </w:rPr>
  </w:style>
  <w:style w:type="character" w:styleId="Style11">
    <w:name w:val="Ссылка указателя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rsid w:val="002455b9"/>
    <w:pPr>
      <w:suppressAutoHyphens w:val="true"/>
      <w:spacing w:before="0" w:after="120"/>
    </w:pPr>
    <w:rPr>
      <w:rFonts w:eastAsia="Times New Roman" w:cs="Times New Roman"/>
      <w:szCs w:val="28"/>
      <w:lang w:eastAsia="ru-RU"/>
    </w:rPr>
  </w:style>
  <w:style w:type="paragraph" w:styleId="List">
    <w:name w:val="List"/>
    <w:basedOn w:val="BodyText"/>
    <w:rsid w:val="002455b9"/>
    <w:pPr/>
    <w:rPr>
      <w:rFonts w:cs="Arial"/>
    </w:rPr>
  </w:style>
  <w:style w:type="paragraph" w:styleId="Caption">
    <w:name w:val="Caption"/>
    <w:basedOn w:val="Normal"/>
    <w:next w:val="Normal"/>
    <w:uiPriority w:val="35"/>
    <w:unhideWhenUsed/>
    <w:qFormat/>
    <w:rsid w:val="002455b9"/>
    <w:pPr>
      <w:suppressAutoHyphens w:val="true"/>
    </w:pPr>
    <w:rPr>
      <w:rFonts w:eastAsia="Times New Roman" w:cs="Times New Roman"/>
      <w:b/>
      <w:bCs/>
      <w:sz w:val="20"/>
      <w:szCs w:val="20"/>
      <w:lang w:eastAsia="ru-RU"/>
    </w:rPr>
  </w:style>
  <w:style w:type="paragraph" w:styleId="Style13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572350"/>
    <w:pPr>
      <w:spacing w:before="0" w:after="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f581a"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b3fce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eb3fce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NoSpacing">
    <w:name w:val="No Spacing"/>
    <w:link w:val="NoSpacingChar"/>
    <w:uiPriority w:val="1"/>
    <w:qFormat/>
    <w:rsid w:val="00657727"/>
    <w:pPr>
      <w:widowControl/>
      <w:suppressAutoHyphens w:val="true"/>
      <w:bidi w:val="0"/>
      <w:spacing w:before="0" w:after="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ru-RU" w:eastAsia="ru-RU" w:bidi="ar-SA"/>
    </w:rPr>
  </w:style>
  <w:style w:type="paragraph" w:styleId="11" w:customStyle="1">
    <w:name w:val="Заголовок1"/>
    <w:basedOn w:val="Normal"/>
    <w:next w:val="BodyText"/>
    <w:qFormat/>
    <w:rsid w:val="002455b9"/>
    <w:pPr>
      <w:keepNext w:val="true"/>
      <w:suppressAutoHyphens w:val="true"/>
      <w:spacing w:before="240" w:after="120"/>
    </w:pPr>
    <w:rPr>
      <w:rFonts w:ascii="Arial" w:hAnsi="Arial" w:eastAsia="Microsoft YaHei" w:cs="Arial"/>
      <w:szCs w:val="28"/>
      <w:lang w:eastAsia="ru-RU"/>
    </w:rPr>
  </w:style>
  <w:style w:type="paragraph" w:styleId="12" w:customStyle="1">
    <w:name w:val="Название1"/>
    <w:basedOn w:val="Normal"/>
    <w:qFormat/>
    <w:rsid w:val="002455b9"/>
    <w:pPr>
      <w:suppressLineNumbers/>
      <w:suppressAutoHyphens w:val="true"/>
      <w:spacing w:before="120" w:after="120"/>
    </w:pPr>
    <w:rPr>
      <w:rFonts w:eastAsia="Times New Roman" w:cs="Arial"/>
      <w:i/>
      <w:iCs/>
      <w:sz w:val="24"/>
      <w:szCs w:val="24"/>
      <w:lang w:eastAsia="ru-RU"/>
    </w:rPr>
  </w:style>
  <w:style w:type="paragraph" w:styleId="13" w:customStyle="1">
    <w:name w:val="Указатель1"/>
    <w:basedOn w:val="Normal"/>
    <w:qFormat/>
    <w:rsid w:val="002455b9"/>
    <w:pPr>
      <w:suppressLineNumbers/>
      <w:suppressAutoHyphens w:val="true"/>
    </w:pPr>
    <w:rPr>
      <w:rFonts w:eastAsia="Times New Roman" w:cs="Arial"/>
      <w:szCs w:val="28"/>
      <w:lang w:eastAsia="ru-RU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455b9"/>
    <w:pPr>
      <w:keepNext w:val="true"/>
      <w:keepLines/>
      <w:spacing w:lineRule="auto" w:line="276" w:before="480" w:after="0"/>
      <w:outlineLvl w:val="9"/>
    </w:pPr>
    <w:rPr>
      <w:rFonts w:eastAsia="Times New Roman"/>
      <w:bCs w:val="false"/>
      <w:color w:val="365F91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2f74c5"/>
    <w:pPr>
      <w:tabs>
        <w:tab w:val="clear" w:pos="708"/>
        <w:tab w:val="right" w:pos="9344" w:leader="dot"/>
      </w:tabs>
      <w:suppressAutoHyphens w:val="true"/>
      <w:ind w:hanging="284" w:left="284"/>
    </w:pPr>
    <w:rPr>
      <w:rFonts w:eastAsia="Times New Roman" w:cs="Times New Roman"/>
      <w:szCs w:val="28"/>
      <w:lang w:eastAsia="ru-RU"/>
    </w:rPr>
  </w:style>
  <w:style w:type="paragraph" w:styleId="Title">
    <w:name w:val="Title"/>
    <w:basedOn w:val="Normal"/>
    <w:next w:val="Normal"/>
    <w:link w:val="TitleChar"/>
    <w:uiPriority w:val="10"/>
    <w:qFormat/>
    <w:rsid w:val="002455b9"/>
    <w:pPr>
      <w:suppressAutoHyphens w:val="true"/>
      <w:spacing w:before="240" w:after="60"/>
      <w:outlineLvl w:val="0"/>
    </w:pPr>
    <w:rPr>
      <w:rFonts w:eastAsia="Times New Roman" w:cs="Times New Roman"/>
      <w:bCs/>
      <w:kern w:val="2"/>
      <w:szCs w:val="32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8b4c8b"/>
    <w:pPr>
      <w:tabs>
        <w:tab w:val="clear" w:pos="708"/>
        <w:tab w:val="left" w:pos="567" w:leader="none"/>
        <w:tab w:val="right" w:pos="9344" w:leader="dot"/>
      </w:tabs>
      <w:suppressAutoHyphens w:val="true"/>
      <w:ind w:hanging="425" w:left="703"/>
      <w:jc w:val="both"/>
    </w:pPr>
    <w:rPr>
      <w:rFonts w:eastAsia="Times New Roman" w:cs="Times New Roman"/>
      <w:szCs w:val="28"/>
      <w:lang w:eastAsia="ru-RU"/>
    </w:rPr>
  </w:style>
  <w:style w:type="paragraph" w:styleId="Heading11" w:customStyle="1">
    <w:name w:val="Heading 1_1"/>
    <w:basedOn w:val="Heading1"/>
    <w:link w:val="Heading11Char"/>
    <w:qFormat/>
    <w:rsid w:val="007669bd"/>
    <w:pPr>
      <w:ind w:hanging="0" w:left="0"/>
      <w:jc w:val="center"/>
    </w:pPr>
    <w:rPr/>
  </w:style>
  <w:style w:type="paragraph" w:styleId="TOC3">
    <w:name w:val="TOC 3"/>
    <w:basedOn w:val="Normal"/>
    <w:next w:val="Normal"/>
    <w:autoRedefine/>
    <w:uiPriority w:val="39"/>
    <w:unhideWhenUsed/>
    <w:rsid w:val="00901fb5"/>
    <w:pPr>
      <w:tabs>
        <w:tab w:val="clear" w:pos="708"/>
        <w:tab w:val="right" w:pos="9344" w:leader="dot"/>
      </w:tabs>
      <w:ind w:left="737"/>
    </w:pPr>
    <w:rPr/>
  </w:style>
  <w:style w:type="paragraph" w:styleId="Normalformula" w:customStyle="1">
    <w:name w:val="Normal_formula"/>
    <w:basedOn w:val="Normal"/>
    <w:link w:val="NormalformulaChar"/>
    <w:qFormat/>
    <w:rsid w:val="00856e59"/>
    <w:pPr>
      <w:tabs>
        <w:tab w:val="clear" w:pos="708"/>
        <w:tab w:val="left" w:pos="567" w:leader="none"/>
        <w:tab w:val="left" w:pos="1134" w:leader="none"/>
      </w:tabs>
      <w:spacing w:before="0" w:after="0"/>
      <w:ind w:hanging="1361" w:left="1361"/>
      <w:contextualSpacing/>
    </w:pPr>
    <w:rPr>
      <w:szCs w:val="28"/>
    </w:rPr>
  </w:style>
  <w:style w:type="paragraph" w:styleId="Italic" w:customStyle="1">
    <w:name w:val="Italic"/>
    <w:basedOn w:val="Normal"/>
    <w:next w:val="Normal"/>
    <w:link w:val="ItalicChar"/>
    <w:qFormat/>
    <w:rsid w:val="00a23d0d"/>
    <w:pPr>
      <w:ind w:firstLine="709"/>
      <w:jc w:val="both"/>
    </w:pPr>
    <w:rPr>
      <w:i/>
      <w:color w:val="000000"/>
      <w:szCs w:val="28"/>
    </w:rPr>
  </w:style>
  <w:style w:type="paragraph" w:styleId="Code" w:customStyle="1">
    <w:name w:val="Code"/>
    <w:basedOn w:val="Normal"/>
    <w:next w:val="Normal"/>
    <w:link w:val="CodeChar"/>
    <w:qFormat/>
    <w:rsid w:val="00600bb1"/>
    <w:pPr/>
    <w:rPr>
      <w:rFonts w:ascii="Courier New" w:hAnsi="Courier New"/>
      <w:sz w:val="24"/>
      <w:lang w:eastAsia="ru-RU"/>
    </w:rPr>
  </w:style>
  <w:style w:type="numbering" w:styleId="Style14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d7751e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920334-8F29-4857-9948-8B4630825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Application>LibreOffice/24.2.7.2$Linux_X86_64 LibreOffice_project/420$Build-2</Application>
  <AppVersion>15.0000</AppVersion>
  <Pages>9</Pages>
  <Words>2365</Words>
  <Characters>16840</Characters>
  <CharactersWithSpaces>19051</CharactersWithSpaces>
  <Paragraphs>174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2024-03-24T23:10:00Z</dcterms:created>
  <dc:creator>Пользователь Windows</dc:creator>
  <dc:description/>
  <dc:language>ru-RU</dc:language>
  <cp:lastModifiedBy/>
  <cp:lastPrinted>2026-02-10T18:44:00Z</cp:lastPrinted>
  <dcterms:modified xsi:type="dcterms:W3CDTF">2026-03-31T09:51:47Z</dcterms:modified>
  <cp:revision>199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