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Compact"/>
        <w:numPr>
          <w:ilvl w:val="0"/>
          <w:numId w:val="1001"/>
        </w:numPr>
      </w:pPr>
      <w:r>
        <w:t xml:space="preserve">The .docx version is generated using Pandoc, specifically the “vscode-pandoc” extension for the Microsoft Visual Studio Code, or the Cursor editor.</w:t>
      </w:r>
    </w:p>
    <w:p>
      <w:pPr>
        <w:pStyle w:val="FirstParagraph"/>
      </w:pPr>
      <w:r>
        <w:t xml:space="preserve">Members of the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p>
      <w:pPr>
        <w:pStyle w:val="Compact"/>
        <w:numPr>
          <w:ilvl w:val="0"/>
          <w:numId w:val="1002"/>
        </w:numPr>
      </w:pPr>
      <w:r>
        <w:t xml:space="preserve">1.0-draft1 (2025-06) Initial draft.</w:t>
      </w:r>
    </w:p>
    <w:p>
      <w:pPr>
        <w:pStyle w:val="Compact"/>
        <w:numPr>
          <w:ilvl w:val="0"/>
          <w:numId w:val="1002"/>
        </w:numPr>
      </w:pPr>
      <w:r>
        <w:t xml:space="preserve">1.0-draft2 (2025-08-14)</w:t>
      </w:r>
    </w:p>
    <w:p>
      <w:pPr>
        <w:pStyle w:val="Compact"/>
        <w:numPr>
          <w:ilvl w:val="1"/>
          <w:numId w:val="1003"/>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1"/>
          <w:numId w:val="1003"/>
        </w:numPr>
      </w:pPr>
      <w:r>
        <w:t xml:space="preserve">Removed content not directly relevant for CP1:</w:t>
      </w:r>
    </w:p>
    <w:p>
      <w:pPr>
        <w:pStyle w:val="Compact"/>
        <w:numPr>
          <w:ilvl w:val="2"/>
          <w:numId w:val="1004"/>
        </w:numPr>
      </w:pPr>
      <w:r>
        <w:t xml:space="preserve">External URL links for download of alternative formats (IWXXM will be passed in the message payload)</w:t>
      </w:r>
    </w:p>
    <w:p>
      <w:pPr>
        <w:pStyle w:val="Compact"/>
        <w:numPr>
          <w:ilvl w:val="2"/>
          <w:numId w:val="1004"/>
        </w:numPr>
      </w:pPr>
      <w:r>
        <w:t xml:space="preserve">Content type</w:t>
      </w:r>
      <w:r>
        <w:t xml:space="preserve"> </w:t>
      </w:r>
      <w:r>
        <w:t xml:space="preserve">“application/url-list”</w:t>
      </w:r>
    </w:p>
    <w:p>
      <w:pPr>
        <w:pStyle w:val="Compact"/>
        <w:numPr>
          <w:ilvl w:val="2"/>
          <w:numId w:val="1004"/>
        </w:numPr>
      </w:pPr>
      <w:r>
        <w:t xml:space="preserve">Geometry properties (aerodrome coordinates, SIGMET bounding boxes)</w:t>
      </w:r>
    </w:p>
    <w:p>
      <w:pPr>
        <w:pStyle w:val="Compact"/>
        <w:numPr>
          <w:ilvl w:val="2"/>
          <w:numId w:val="1004"/>
        </w:numPr>
      </w:pPr>
      <w:r>
        <w:t xml:space="preserve">Payload integrity properties that were based on WIS 2.0 WNM, and SWIM TI Yellow Profile 2.0 mandates the use of S/MIME 4.0 for this purpose.</w:t>
      </w:r>
    </w:p>
    <w:p>
      <w:pPr>
        <w:pStyle w:val="Compact"/>
        <w:numPr>
          <w:ilvl w:val="2"/>
          <w:numId w:val="1004"/>
        </w:numPr>
      </w:pPr>
      <w:r>
        <w:t xml:space="preserve">Technical messages</w:t>
      </w:r>
    </w:p>
    <w:p>
      <w:pPr>
        <w:pStyle w:val="Compact"/>
        <w:numPr>
          <w:ilvl w:val="1"/>
          <w:numId w:val="1003"/>
        </w:numPr>
      </w:pPr>
      <w:r>
        <w:t xml:space="preserve">The only way to send IWXXM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1"/>
          <w:numId w:val="1003"/>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1"/>
          <w:numId w:val="1003"/>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1"/>
          <w:numId w:val="1003"/>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1"/>
          <w:numId w:val="1003"/>
        </w:numPr>
      </w:pPr>
      <w:r>
        <w:t xml:space="preserve">New application property</w:t>
      </w:r>
      <w:r>
        <w:t xml:space="preserve"> </w:t>
      </w:r>
      <w:r>
        <w:rPr>
          <w:rStyle w:val="VerbatimChar"/>
        </w:rPr>
        <w:t xml:space="preserve">report_status</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1"/>
          <w:numId w:val="1003"/>
        </w:numPr>
      </w:pPr>
      <w:r>
        <w:t xml:space="preserve">The new application property</w:t>
      </w:r>
      <w:r>
        <w:t xml:space="preserve"> </w:t>
      </w:r>
      <w:r>
        <w:rPr>
          <w:rStyle w:val="VerbatimChar"/>
        </w:rPr>
        <w:t xml:space="preserve">issue_datetime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1"/>
          <w:numId w:val="1003"/>
        </w:numPr>
      </w:pPr>
      <w:r>
        <w:t xml:space="preserve">Added AMQP transport header property</w:t>
      </w:r>
      <w:r>
        <w:t xml:space="preserve"> </w:t>
      </w:r>
      <w:r>
        <w:rPr>
          <w:rStyle w:val="VerbatimChar"/>
        </w:rPr>
        <w:t xml:space="preserve">creation-time</w:t>
      </w:r>
      <w:r>
        <w:t xml:space="preserve">.</w:t>
      </w:r>
    </w:p>
    <w:p>
      <w:pPr>
        <w:pStyle w:val="Compact"/>
        <w:numPr>
          <w:ilvl w:val="1"/>
          <w:numId w:val="1003"/>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1"/>
          <w:numId w:val="1003"/>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1"/>
          <w:numId w:val="1003"/>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p>
      <w:pPr>
        <w:pStyle w:val="Compact"/>
        <w:numPr>
          <w:ilvl w:val="0"/>
          <w:numId w:val="1002"/>
        </w:numPr>
      </w:pPr>
      <w:r>
        <w:t xml:space="preserve">1.0-draft3 (2025-08-20)</w:t>
      </w:r>
    </w:p>
    <w:p>
      <w:pPr>
        <w:pStyle w:val="Compact"/>
        <w:numPr>
          <w:ilvl w:val="1"/>
          <w:numId w:val="1005"/>
        </w:numPr>
      </w:pPr>
      <w:r>
        <w:t xml:space="preserve">Renamed</w:t>
      </w:r>
      <w:r>
        <w:t xml:space="preserve"> </w:t>
      </w:r>
      <w:r>
        <w:rPr>
          <w:rStyle w:val="VerbatimChar"/>
        </w:rPr>
        <w:t xml:space="preserve">issue_time</w:t>
      </w:r>
      <w:r>
        <w:t xml:space="preserve"> </w:t>
      </w:r>
      <w:r>
        <w:t xml:space="preserve">to</w:t>
      </w:r>
      <w:r>
        <w:t xml:space="preserve"> </w:t>
      </w:r>
      <w:r>
        <w:rPr>
          <w:rStyle w:val="VerbatimChar"/>
        </w:rPr>
        <w:t xml:space="preserve">issue_datetime</w:t>
      </w:r>
      <w:r>
        <w:t xml:space="preserve"> </w:t>
      </w:r>
      <w:r>
        <w:t xml:space="preserve">for consistency with other temporal application properties.</w:t>
      </w:r>
    </w:p>
    <w:p>
      <w:pPr>
        <w:pStyle w:val="Compact"/>
        <w:numPr>
          <w:ilvl w:val="1"/>
          <w:numId w:val="1005"/>
        </w:numPr>
      </w:pPr>
      <w:r>
        <w:t xml:space="preserve">Explanation why</w:t>
      </w:r>
      <w:r>
        <w:t xml:space="preserve"> </w:t>
      </w:r>
      <w:r>
        <w:rPr>
          <w:rStyle w:val="VerbatimChar"/>
        </w:rPr>
        <w:t xml:space="preserve">absolute-expiry-time</w:t>
      </w:r>
      <w:r>
        <w:t xml:space="preserve"> </w:t>
      </w:r>
      <w:r>
        <w:t xml:space="preserve">and</w:t>
      </w:r>
      <w:r>
        <w:t xml:space="preserve"> </w:t>
      </w:r>
      <w:r>
        <w:rPr>
          <w:rStyle w:val="VerbatimChar"/>
        </w:rPr>
        <w:t xml:space="preserve">creation-time</w:t>
      </w:r>
      <w:r>
        <w:t xml:space="preserve"> </w:t>
      </w:r>
      <w:r>
        <w:t xml:space="preserve">are handled differently - they are AMQP 1.0 built-in transport headers using the Unix time_t UTC timestamp in milliseconds, and they are not a part of the application headers.</w:t>
      </w:r>
    </w:p>
    <w:p>
      <w:pPr>
        <w:pStyle w:val="Compact"/>
        <w:numPr>
          <w:ilvl w:val="1"/>
          <w:numId w:val="1005"/>
        </w:numPr>
      </w:pPr>
      <w:r>
        <w:rPr>
          <w:rStyle w:val="VerbatimChar"/>
        </w:rPr>
        <w:t xml:space="preserve">icao_location_type</w:t>
      </w:r>
      <w:r>
        <w:t xml:space="preserve"> </w:t>
      </w:r>
      <w:r>
        <w:t xml:space="preserve">turned from</w:t>
      </w:r>
      <w:r>
        <w:t xml:space="preserve"> </w:t>
      </w:r>
      <w:r>
        <w:rPr>
          <w:i/>
          <w:iCs/>
        </w:rPr>
        <w:t xml:space="preserve">mandatory</w:t>
      </w:r>
      <w:r>
        <w:t xml:space="preserve"> </w:t>
      </w:r>
      <w:r>
        <w:t xml:space="preserve">to</w:t>
      </w:r>
      <w:r>
        <w:t xml:space="preserve"> </w:t>
      </w:r>
      <w:r>
        <w:rPr>
          <w:i/>
          <w:iCs/>
        </w:rPr>
        <w:t xml:space="preserve">optional</w:t>
      </w:r>
      <w:r>
        <w:t xml:space="preserve">, to be included only when disambiguation is needed. Explained motivation using</w:t>
      </w:r>
      <w:r>
        <w:t xml:space="preserve"> </w:t>
      </w:r>
      <w:r>
        <w:rPr>
          <w:rStyle w:val="VerbatimChar"/>
        </w:rPr>
        <w:t xml:space="preserve">LECB BARCELONA FIR</w:t>
      </w:r>
      <w:r>
        <w:t xml:space="preserve"> </w:t>
      </w:r>
      <w:r>
        <w:t xml:space="preserve">vs. </w:t>
      </w:r>
      <w:r>
        <w:rPr>
          <w:rStyle w:val="VerbatimChar"/>
        </w:rPr>
        <w:t xml:space="preserve">BARCELONA UIR</w:t>
      </w:r>
      <w:r>
        <w:t xml:space="preserve">.</w:t>
      </w:r>
    </w:p>
    <w:p>
      <w:pPr>
        <w:pStyle w:val="Compact"/>
        <w:numPr>
          <w:ilvl w:val="1"/>
          <w:numId w:val="1005"/>
        </w:numPr>
      </w:pPr>
      <w:r>
        <w:t xml:space="preserve">Removed references to IWXXM 2.1, because the guidance related to property extraction does not work for versions older than IWXXM 3.0 (year 2018). IWXXM 3.0 significantly changed structure of IWXXM and abandoned the use of OM (Observation Model) schema.</w:t>
      </w:r>
    </w:p>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6"/>
        </w:numPr>
      </w:pPr>
      <w:r>
        <w:t xml:space="preserve">Ensure interoperability between different MET-SWIM implementations</w:t>
      </w:r>
    </w:p>
    <w:p>
      <w:pPr>
        <w:pStyle w:val="Compact"/>
        <w:numPr>
          <w:ilvl w:val="0"/>
          <w:numId w:val="1006"/>
        </w:numPr>
      </w:pPr>
      <w:r>
        <w:t xml:space="preserve">Standardise AMQP message properties for meteorological data exchange</w:t>
      </w:r>
    </w:p>
    <w:p>
      <w:pPr>
        <w:pStyle w:val="Compact"/>
        <w:numPr>
          <w:ilvl w:val="0"/>
          <w:numId w:val="1006"/>
        </w:numPr>
      </w:pPr>
      <w:r>
        <w:t xml:space="preserve">Enable efficient filtering of messages</w:t>
      </w:r>
    </w:p>
    <w:p>
      <w:pPr>
        <w:pStyle w:val="Compact"/>
        <w:numPr>
          <w:ilvl w:val="0"/>
          <w:numId w:val="1006"/>
        </w:numPr>
      </w:pPr>
      <w:r>
        <w:t xml:space="preserve">Enable routing of messages to downstream systems based on typical information like report type or aerodrome/FIR code.</w:t>
      </w:r>
    </w:p>
    <w:p>
      <w:pPr>
        <w:pStyle w:val="Compact"/>
        <w:numPr>
          <w:ilvl w:val="0"/>
          <w:numId w:val="1006"/>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7"/>
        </w:numPr>
      </w:pPr>
      <w:r>
        <w:t xml:space="preserve">METAR</w:t>
      </w:r>
    </w:p>
    <w:p>
      <w:pPr>
        <w:pStyle w:val="Compact"/>
        <w:numPr>
          <w:ilvl w:val="0"/>
          <w:numId w:val="1007"/>
        </w:numPr>
      </w:pPr>
      <w:r>
        <w:t xml:space="preserve">SPECI</w:t>
      </w:r>
    </w:p>
    <w:p>
      <w:pPr>
        <w:pStyle w:val="Compact"/>
        <w:numPr>
          <w:ilvl w:val="0"/>
          <w:numId w:val="1007"/>
        </w:numPr>
      </w:pPr>
      <w:r>
        <w:t xml:space="preserve">TAF</w:t>
      </w:r>
    </w:p>
    <w:p>
      <w:pPr>
        <w:pStyle w:val="Compact"/>
        <w:numPr>
          <w:ilvl w:val="0"/>
          <w:numId w:val="1007"/>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8"/>
        </w:numPr>
      </w:pPr>
      <w:r>
        <w:t xml:space="preserve">Boris Burger (IBL)</w:t>
      </w:r>
    </w:p>
    <w:p>
      <w:pPr>
        <w:pStyle w:val="Compact"/>
        <w:numPr>
          <w:ilvl w:val="1"/>
          <w:numId w:val="1009"/>
        </w:numPr>
      </w:pPr>
      <w:r>
        <w:t xml:space="preserve">Further alignment with AMQP, WNM, and incorporating feedback.</w:t>
      </w:r>
    </w:p>
    <w:p>
      <w:pPr>
        <w:pStyle w:val="Compact"/>
        <w:numPr>
          <w:ilvl w:val="1"/>
          <w:numId w:val="1009"/>
        </w:numPr>
      </w:pPr>
      <w:r>
        <w:t xml:space="preserve">Relationship of AMQP properties to IWXXM data model.</w:t>
      </w:r>
    </w:p>
    <w:p>
      <w:pPr>
        <w:pStyle w:val="FirstParagraph"/>
      </w:pPr>
      <w:r>
        <w:t xml:space="preserve">Contributions and feedback:</w:t>
      </w:r>
    </w:p>
    <w:p>
      <w:pPr>
        <w:pStyle w:val="Compact"/>
        <w:numPr>
          <w:ilvl w:val="0"/>
          <w:numId w:val="1010"/>
        </w:numPr>
      </w:pPr>
      <w:r>
        <w:t xml:space="preserve">Michal Weis (IBL)</w:t>
      </w:r>
    </w:p>
    <w:p>
      <w:pPr>
        <w:pStyle w:val="Compact"/>
        <w:numPr>
          <w:ilvl w:val="0"/>
          <w:numId w:val="1010"/>
        </w:numPr>
      </w:pPr>
      <w:r>
        <w:t xml:space="preserve">Dario di Crescenzo (EUROCONTROL)</w:t>
      </w:r>
    </w:p>
    <w:p>
      <w:pPr>
        <w:pStyle w:val="Compact"/>
        <w:numPr>
          <w:ilvl w:val="0"/>
          <w:numId w:val="1010"/>
        </w:numPr>
      </w:pPr>
      <w:r>
        <w:t xml:space="preserve">Michael Pichler (Austro Control)</w:t>
      </w:r>
    </w:p>
    <w:p>
      <w:pPr>
        <w:pStyle w:val="Compact"/>
        <w:numPr>
          <w:ilvl w:val="0"/>
          <w:numId w:val="1010"/>
        </w:numPr>
      </w:pPr>
      <w:r>
        <w:t xml:space="preserve">Tiaan Wessels (Netsys)</w:t>
      </w:r>
    </w:p>
    <w:p>
      <w:pPr>
        <w:pStyle w:val="Compact"/>
        <w:numPr>
          <w:ilvl w:val="0"/>
          <w:numId w:val="1010"/>
        </w:numPr>
      </w:pPr>
      <w:r>
        <w:t xml:space="preserve">Jürgen Schulze (met.no)</w:t>
      </w:r>
    </w:p>
    <w:p>
      <w:pPr>
        <w:pStyle w:val="Compact"/>
        <w:numPr>
          <w:ilvl w:val="0"/>
          <w:numId w:val="1010"/>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11"/>
        </w:numPr>
      </w:pPr>
      <w:hyperlink r:id="rId19">
        <w:r>
          <w:rPr>
            <w:rStyle w:val="Hyperlink"/>
          </w:rPr>
          <w:t xml:space="preserve">EU Common Project Regulation (CP1)</w:t>
        </w:r>
      </w:hyperlink>
    </w:p>
    <w:p>
      <w:pPr>
        <w:pStyle w:val="Compact"/>
        <w:numPr>
          <w:ilvl w:val="0"/>
          <w:numId w:val="1011"/>
        </w:numPr>
      </w:pPr>
      <w:hyperlink r:id="rId20">
        <w:r>
          <w:rPr>
            <w:rStyle w:val="Hyperlink"/>
          </w:rPr>
          <w:t xml:space="preserve">IWXXM METAR-SPECI Subscription and Request Service 1.0</w:t>
        </w:r>
      </w:hyperlink>
    </w:p>
    <w:p>
      <w:pPr>
        <w:pStyle w:val="Compact"/>
        <w:numPr>
          <w:ilvl w:val="0"/>
          <w:numId w:val="1011"/>
        </w:numPr>
      </w:pPr>
      <w:hyperlink r:id="rId21">
        <w:r>
          <w:rPr>
            <w:rStyle w:val="Hyperlink"/>
          </w:rPr>
          <w:t xml:space="preserve">IWXXM SIGMET Subscription and Request Service 1.0</w:t>
        </w:r>
      </w:hyperlink>
    </w:p>
    <w:p>
      <w:pPr>
        <w:pStyle w:val="Compact"/>
        <w:numPr>
          <w:ilvl w:val="0"/>
          <w:numId w:val="1011"/>
        </w:numPr>
      </w:pPr>
      <w:hyperlink r:id="rId22">
        <w:r>
          <w:rPr>
            <w:rStyle w:val="Hyperlink"/>
          </w:rPr>
          <w:t xml:space="preserve">IWXXM TAF Subscription and Request Service 1.0</w:t>
        </w:r>
      </w:hyperlink>
    </w:p>
    <w:p>
      <w:pPr>
        <w:pStyle w:val="Compact"/>
        <w:numPr>
          <w:ilvl w:val="0"/>
          <w:numId w:val="1011"/>
        </w:numPr>
      </w:pPr>
      <w:hyperlink r:id="rId23">
        <w:r>
          <w:rPr>
            <w:rStyle w:val="Hyperlink"/>
          </w:rPr>
          <w:t xml:space="preserve">OASIS AMQP 1.0 Specification, Part 3: Messaging</w:t>
        </w:r>
      </w:hyperlink>
    </w:p>
    <w:p>
      <w:pPr>
        <w:pStyle w:val="Compact"/>
        <w:numPr>
          <w:ilvl w:val="0"/>
          <w:numId w:val="1011"/>
        </w:numPr>
      </w:pPr>
      <w:hyperlink r:id="rId24">
        <w:r>
          <w:rPr>
            <w:rStyle w:val="Hyperlink"/>
          </w:rPr>
          <w:t xml:space="preserve">OGC API - Environmental Data Retrieval (EDR)</w:t>
        </w:r>
      </w:hyperlink>
    </w:p>
    <w:p>
      <w:pPr>
        <w:pStyle w:val="Compact"/>
        <w:numPr>
          <w:ilvl w:val="0"/>
          <w:numId w:val="1011"/>
        </w:numPr>
      </w:pPr>
      <w:hyperlink r:id="rId15">
        <w:r>
          <w:rPr>
            <w:rStyle w:val="Hyperlink"/>
          </w:rPr>
          <w:t xml:space="preserve">OGC API - Environmental Data Retrieval (EDR) Part 2: Publish-Subscribe workflow</w:t>
        </w:r>
      </w:hyperlink>
    </w:p>
    <w:p>
      <w:pPr>
        <w:pStyle w:val="Compact"/>
        <w:numPr>
          <w:ilvl w:val="0"/>
          <w:numId w:val="1011"/>
        </w:numPr>
      </w:pPr>
      <w:hyperlink r:id="rId25">
        <w:r>
          <w:rPr>
            <w:rStyle w:val="Hyperlink"/>
          </w:rPr>
          <w:t xml:space="preserve">AMQP Filter Expressions 1.0</w:t>
        </w:r>
      </w:hyperlink>
    </w:p>
    <w:p>
      <w:pPr>
        <w:pStyle w:val="Compact"/>
        <w:numPr>
          <w:ilvl w:val="0"/>
          <w:numId w:val="1011"/>
        </w:numPr>
      </w:pPr>
      <w:hyperlink r:id="rId26">
        <w:r>
          <w:rPr>
            <w:rStyle w:val="Hyperlink"/>
          </w:rPr>
          <w:t xml:space="preserve">WMO WIS 2.0 Overview</w:t>
        </w:r>
      </w:hyperlink>
    </w:p>
    <w:p>
      <w:pPr>
        <w:pStyle w:val="Compact"/>
        <w:numPr>
          <w:ilvl w:val="0"/>
          <w:numId w:val="1011"/>
        </w:numPr>
      </w:pPr>
      <w:hyperlink r:id="rId14">
        <w:r>
          <w:rPr>
            <w:rStyle w:val="Hyperlink"/>
          </w:rPr>
          <w:t xml:space="preserve">WMO WIS 2.0 Notification Message Standard</w:t>
        </w:r>
      </w:hyperlink>
    </w:p>
    <w:p>
      <w:pPr>
        <w:pStyle w:val="Compact"/>
        <w:numPr>
          <w:ilvl w:val="0"/>
          <w:numId w:val="1011"/>
        </w:numPr>
      </w:pPr>
      <w:hyperlink r:id="rId27">
        <w:r>
          <w:rPr>
            <w:rStyle w:val="Hyperlink"/>
          </w:rPr>
          <w:t xml:space="preserve">RFC 3339 - Date and Time on the Internet</w:t>
        </w:r>
      </w:hyperlink>
    </w:p>
    <w:p>
      <w:pPr>
        <w:pStyle w:val="Compact"/>
        <w:numPr>
          <w:ilvl w:val="0"/>
          <w:numId w:val="1011"/>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2"/>
        </w:numPr>
      </w:pPr>
      <w:r>
        <w:rPr>
          <w:b/>
          <w:bCs/>
        </w:rPr>
        <w:t xml:space="preserve">Message Addressing</w:t>
      </w:r>
      <w:r>
        <w:t xml:space="preserve"> </w:t>
      </w:r>
      <w:r>
        <w:t xml:space="preserve">- Destination address using a hierarchical structure</w:t>
      </w:r>
    </w:p>
    <w:p>
      <w:pPr>
        <w:pStyle w:val="Compact"/>
        <w:numPr>
          <w:ilvl w:val="0"/>
          <w:numId w:val="1012"/>
        </w:numPr>
      </w:pPr>
      <w:r>
        <w:rPr>
          <w:b/>
          <w:bCs/>
        </w:rPr>
        <w:t xml:space="preserve">Message Transport Header</w:t>
      </w:r>
      <w:r>
        <w:t xml:space="preserve"> </w:t>
      </w:r>
      <w:r>
        <w:t xml:space="preserve">- Priority settings, expiration.</w:t>
      </w:r>
    </w:p>
    <w:p>
      <w:pPr>
        <w:pStyle w:val="Compact"/>
        <w:numPr>
          <w:ilvl w:val="0"/>
          <w:numId w:val="1012"/>
        </w:numPr>
      </w:pPr>
      <w:r>
        <w:rPr>
          <w:b/>
          <w:bCs/>
        </w:rPr>
        <w:t xml:space="preserve">Message Properties</w:t>
      </w:r>
      <w:r>
        <w:t xml:space="preserve"> </w:t>
      </w:r>
      <w:r>
        <w:t xml:space="preserve">- Standard AMQP properties including subject, content-type, etc.</w:t>
      </w:r>
    </w:p>
    <w:p>
      <w:pPr>
        <w:pStyle w:val="Compact"/>
        <w:numPr>
          <w:ilvl w:val="0"/>
          <w:numId w:val="1012"/>
        </w:numPr>
      </w:pPr>
      <w:r>
        <w:rPr>
          <w:b/>
          <w:bCs/>
        </w:rPr>
        <w:t xml:space="preserve">Application Properties</w:t>
      </w:r>
      <w:r>
        <w:t xml:space="preserve"> </w:t>
      </w:r>
      <w:r>
        <w:t xml:space="preserve">- Custom properties for meteorological data identification and filtering</w:t>
      </w:r>
    </w:p>
    <w:p>
      <w:pPr>
        <w:pStyle w:val="Compact"/>
        <w:numPr>
          <w:ilvl w:val="0"/>
          <w:numId w:val="1012"/>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3"/>
        </w:numPr>
      </w:pPr>
      <w:r>
        <w:rPr>
          <w:rStyle w:val="VerbatimChar"/>
        </w:rPr>
        <w:t xml:space="preserve">metar</w:t>
      </w:r>
      <w:r>
        <w:t xml:space="preserve"> </w:t>
      </w:r>
      <w:r>
        <w:t xml:space="preserve">- for METAR and SPECI reports</w:t>
      </w:r>
    </w:p>
    <w:p>
      <w:pPr>
        <w:pStyle w:val="Compact"/>
        <w:numPr>
          <w:ilvl w:val="0"/>
          <w:numId w:val="1013"/>
        </w:numPr>
      </w:pPr>
      <w:r>
        <w:rPr>
          <w:rStyle w:val="VerbatimChar"/>
        </w:rPr>
        <w:t xml:space="preserve">taf</w:t>
      </w:r>
      <w:r>
        <w:t xml:space="preserve"> </w:t>
      </w:r>
      <w:r>
        <w:t xml:space="preserve">- for TAF reports</w:t>
      </w:r>
    </w:p>
    <w:p>
      <w:pPr>
        <w:pStyle w:val="Compact"/>
        <w:numPr>
          <w:ilvl w:val="0"/>
          <w:numId w:val="1013"/>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4"/>
        </w:numPr>
      </w:pPr>
      <w:r>
        <w:rPr>
          <w:rStyle w:val="VerbatimChar"/>
        </w:rPr>
        <w:t xml:space="preserve">*</w:t>
      </w:r>
      <w:r>
        <w:t xml:space="preserve"> </w:t>
      </w:r>
      <w:r>
        <w:t xml:space="preserve">- matches exactly one level in the hierarchy</w:t>
      </w:r>
    </w:p>
    <w:p>
      <w:pPr>
        <w:pStyle w:val="Compact"/>
        <w:numPr>
          <w:ilvl w:val="0"/>
          <w:numId w:val="1014"/>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5"/>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5"/>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6"/>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7"/>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7"/>
        </w:numPr>
      </w:pPr>
      <w:r>
        <w:t xml:space="preserve">RabbitMQ supports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8"/>
        </w:numPr>
      </w:pPr>
      <w:r>
        <w:t xml:space="preserve">SPECI should have higher priority than METAR</w:t>
      </w:r>
    </w:p>
    <w:p>
      <w:pPr>
        <w:pStyle w:val="Compact"/>
        <w:numPr>
          <w:ilvl w:val="0"/>
          <w:numId w:val="1018"/>
        </w:numPr>
      </w:pPr>
      <w:r>
        <w:t xml:space="preserve">TAF amendments should have higher priority than TAF</w:t>
      </w:r>
    </w:p>
    <w:p>
      <w:pPr>
        <w:pStyle w:val="Compact"/>
        <w:numPr>
          <w:ilvl w:val="0"/>
          <w:numId w:val="1018"/>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50"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9"/>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9"/>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20"/>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20"/>
        </w:numPr>
      </w:pPr>
      <w:r>
        <w:rPr>
          <w:rStyle w:val="VerbatimChar"/>
        </w:rPr>
        <w:t xml:space="preserve">identity</w:t>
      </w:r>
      <w:r>
        <w:t xml:space="preserve"> </w:t>
      </w:r>
      <w:r>
        <w:t xml:space="preserve">- for uncompressed data (default if omitted).</w:t>
      </w:r>
    </w:p>
    <w:bookmarkEnd w:id="46"/>
    <w:bookmarkStart w:id="48" w:name="absolute-expiry-time-optional"/>
    <w:p>
      <w:pPr>
        <w:pStyle w:val="Heading2"/>
      </w:pPr>
      <w:r>
        <w:rPr>
          <w:rStyle w:val="SectionNumber"/>
        </w:rPr>
        <w:t xml:space="preserve">7.4</w:t>
      </w:r>
      <w:r>
        <w:tab/>
      </w:r>
      <w:r>
        <w:t xml:space="preserve">absolute-expiry-time (OPTIONAL)</w:t>
      </w:r>
    </w:p>
    <w:p>
      <w:pPr>
        <w:pStyle w:val="FirstParagraph"/>
      </w:pPr>
      <w:r>
        <w:t xml:space="preserve">Unix-like UTC timestamp in milliseconds, indicating when the message should expire in the broker and from the durable queues. Please see also the definition of the</w:t>
      </w:r>
      <w:r>
        <w:t xml:space="preserve"> </w:t>
      </w:r>
      <w:hyperlink r:id="rId47">
        <w:r>
          <w:rPr>
            <w:rStyle w:val="Hyperlink"/>
          </w:rPr>
          <w:t xml:space="preserve">timestamp</w:t>
        </w:r>
      </w:hyperlink>
      <w:r>
        <w:t xml:space="preserve">) type in the AMQP specification:</w:t>
      </w:r>
    </w:p>
    <w:p>
      <w:pPr>
        <w:pStyle w:val="BlockText"/>
      </w:pPr>
      <w:r>
        <w:t xml:space="preserve">Represents an approximate point in time using the Unix time_t [IEEE1003] encoding of UTC, but with a precision of milliseconds. For example, 1311704463521 represents the moment 2011-07-26T18:21:03.521Z</w:t>
      </w:r>
    </w:p>
    <w:p>
      <w:pPr>
        <w:pStyle w:val="FirstParagraph"/>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1"/>
        </w:numPr>
      </w:pPr>
      <w:r>
        <w:t xml:space="preserve">Give the clients a chance to receive the messages during shorter communication outages or client maintenance periods.</w:t>
      </w:r>
    </w:p>
    <w:p>
      <w:pPr>
        <w:pStyle w:val="Compact"/>
        <w:numPr>
          <w:ilvl w:val="0"/>
          <w:numId w:val="1021"/>
        </w:numPr>
      </w:pPr>
      <w:r>
        <w:t xml:space="preserve">Keep the messages long enough to survive the AMQP server maintenance windows or outages.</w:t>
      </w:r>
    </w:p>
    <w:p>
      <w:pPr>
        <w:pStyle w:val="FirstParagraph"/>
      </w:pPr>
      <w:r>
        <w:rPr>
          <w:b/>
          <w:bCs/>
        </w:rPr>
        <w:t xml:space="preserve">Example:</w:t>
      </w:r>
      <w:r>
        <w:t xml:space="preserve"> </w:t>
      </w:r>
      <w:r>
        <w:t xml:space="preserve">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2"/>
        </w:numPr>
      </w:pPr>
      <w:r>
        <w:t xml:space="preserve">One client might be interested only in the latest operationally useful data.</w:t>
      </w:r>
    </w:p>
    <w:p>
      <w:pPr>
        <w:pStyle w:val="Compact"/>
        <w:numPr>
          <w:ilvl w:val="0"/>
          <w:numId w:val="1022"/>
        </w:numPr>
      </w:pPr>
      <w:r>
        <w:t xml:space="preserve">Another client might be a climatological database that needs all the reports regardless of age. In this case loosing observations due to a 3h communication outage does not seem reasonable.</w:t>
      </w:r>
    </w:p>
    <w:bookmarkEnd w:id="48"/>
    <w:bookmarkStart w:id="49" w:name="creation-time-optional"/>
    <w:p>
      <w:pPr>
        <w:pStyle w:val="Heading2"/>
      </w:pPr>
      <w:r>
        <w:rPr>
          <w:rStyle w:val="SectionNumber"/>
        </w:rPr>
        <w:t xml:space="preserve">7.5</w:t>
      </w:r>
      <w:r>
        <w:tab/>
      </w:r>
      <w:r>
        <w:t xml:space="preserve">creation-time (OPTIONAL)</w:t>
      </w:r>
    </w:p>
    <w:p>
      <w:pPr>
        <w:pStyle w:val="FirstParagraph"/>
      </w:pPr>
      <w:r>
        <w:t xml:space="preserve">This is the Unix UTC timestamp (in milliseconds since the epoch)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49"/>
    <w:bookmarkEnd w:id="50"/>
    <w:bookmarkStart w:id="72"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25">
        <w:r>
          <w:rPr>
            <w:rStyle w:val="Hyperlink"/>
          </w:rPr>
          <w:t xml:space="preserve">AMQP Filter Expressions 1.0</w:t>
        </w:r>
      </w:hyperlink>
      <w:r>
        <w:t xml:space="preserve">. The AMQP specification does not regulate</w:t>
      </w:r>
      <w:r>
        <w:t xml:space="preserve"> </w:t>
      </w:r>
      <w:hyperlink r:id="rId51">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3"/>
        </w:numPr>
      </w:pPr>
      <w:r>
        <w:rPr>
          <w:i/>
          <w:iCs/>
        </w:rPr>
        <w:t xml:space="preserve">mandatory</w:t>
      </w:r>
      <w:r>
        <w:t xml:space="preserve">: need to be present at all times,</w:t>
      </w:r>
    </w:p>
    <w:p>
      <w:pPr>
        <w:pStyle w:val="Compact"/>
        <w:numPr>
          <w:ilvl w:val="0"/>
          <w:numId w:val="1023"/>
        </w:numPr>
      </w:pPr>
      <w:r>
        <w:rPr>
          <w:i/>
          <w:iCs/>
        </w:rPr>
        <w:t xml:space="preserve">conditional</w:t>
      </w:r>
      <w:r>
        <w:t xml:space="preserve">: are mandatory under stated conditions,</w:t>
      </w:r>
    </w:p>
    <w:p>
      <w:pPr>
        <w:pStyle w:val="Compact"/>
        <w:numPr>
          <w:ilvl w:val="0"/>
          <w:numId w:val="1023"/>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4"/>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2">
        <w:r>
          <w:rPr>
            <w:rStyle w:val="Hyperlink"/>
          </w:rPr>
          <w:t xml:space="preserve">RFC 7946</w:t>
        </w:r>
      </w:hyperlink>
      <w:r>
        <w:t xml:space="preserve">).</w:t>
      </w:r>
    </w:p>
    <w:p>
      <w:pPr>
        <w:pStyle w:val="Compact"/>
        <w:numPr>
          <w:ilvl w:val="0"/>
          <w:numId w:val="1024"/>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4"/>
        </w:numPr>
      </w:pPr>
      <w:r>
        <w:t xml:space="preserve">In AMQP, this is unnecessary because the direct equivalent of the GeoJSON custom properties are the AMQP application properties, so there is no need to use any prefix.</w:t>
      </w:r>
    </w:p>
    <w:p>
      <w:pPr>
        <w:pStyle w:val="Compact"/>
        <w:numPr>
          <w:ilvl w:val="0"/>
          <w:numId w:val="1024"/>
        </w:numPr>
      </w:pPr>
      <w:r>
        <w:t xml:space="preserve">See also the</w:t>
      </w:r>
      <w:r>
        <w:t xml:space="preserve"> </w:t>
      </w:r>
      <w:hyperlink r:id="rId53">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4"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4"/>
    <w:bookmarkStart w:id="62"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5"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5"/>
        </w:numPr>
      </w:pPr>
      <w:r>
        <w:rPr>
          <w:rStyle w:val="VerbatimChar"/>
        </w:rPr>
        <w:t xml:space="preserve">NORMAL</w:t>
      </w:r>
      <w:r>
        <w:t xml:space="preserve"> </w:t>
      </w:r>
      <w:r>
        <w:t xml:space="preserve">- Regular report</w:t>
      </w:r>
    </w:p>
    <w:p>
      <w:pPr>
        <w:pStyle w:val="Compact"/>
        <w:numPr>
          <w:ilvl w:val="0"/>
          <w:numId w:val="1025"/>
        </w:numPr>
      </w:pPr>
      <w:r>
        <w:rPr>
          <w:rStyle w:val="VerbatimChar"/>
        </w:rPr>
        <w:t xml:space="preserve">AMENDMENT</w:t>
      </w:r>
      <w:r>
        <w:t xml:space="preserve"> </w:t>
      </w:r>
      <w:r>
        <w:t xml:space="preserve">- Amendment of a previous report</w:t>
      </w:r>
    </w:p>
    <w:p>
      <w:pPr>
        <w:pStyle w:val="Compact"/>
        <w:numPr>
          <w:ilvl w:val="0"/>
          <w:numId w:val="1025"/>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5"/>
    <w:bookmarkStart w:id="56"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icao_location_identifier: "EBBR"</w:t>
      </w:r>
    </w:p>
    <w:bookmarkEnd w:id="56"/>
    <w:bookmarkStart w:id="60" w:name="icao_location_type-optional"/>
    <w:p>
      <w:pPr>
        <w:pStyle w:val="Heading3"/>
      </w:pPr>
      <w:r>
        <w:rPr>
          <w:rStyle w:val="SectionNumber"/>
        </w:rPr>
        <w:t xml:space="preserve">8.2.3</w:t>
      </w:r>
      <w:r>
        <w:tab/>
      </w:r>
      <w:r>
        <w:t xml:space="preserve">icao_location_type (optional)</w:t>
      </w:r>
    </w:p>
    <w:p>
      <w:pPr>
        <w:pStyle w:val="FirstParagraph"/>
      </w:pPr>
      <w:r>
        <w:t xml:space="preserve">Type of location identifier. Can be optionally used for disambiguation when the location referred to by the</w:t>
      </w:r>
      <w:r>
        <w:t xml:space="preserve"> </w:t>
      </w:r>
      <w:r>
        <w:rPr>
          <w:rStyle w:val="VerbatimChar"/>
        </w:rPr>
        <w:t xml:space="preserve">icao_location_identifier</w:t>
      </w:r>
      <w:r>
        <w:t xml:space="preserve"> </w:t>
      </w:r>
      <w:r>
        <w:t xml:space="preserve">is not clear.</w:t>
      </w:r>
    </w:p>
    <w:p>
      <w:pPr>
        <w:pStyle w:val="BodyText"/>
      </w:pPr>
      <w:r>
        <w:rPr>
          <w:b/>
          <w:bCs/>
        </w:rPr>
        <w:t xml:space="preserve">Motivation:</w:t>
      </w:r>
      <w:r>
        <w:t xml:space="preserve"> </w:t>
      </w:r>
      <w:r>
        <w:t xml:space="preserve">Some countries use the same ICAO code to refer to both the lower FIR and the upper UIR airspace. For example, there are SIGMETs issued for</w:t>
      </w:r>
      <w:r>
        <w:t xml:space="preserve"> </w:t>
      </w:r>
      <w:r>
        <w:rPr>
          <w:rStyle w:val="VerbatimChar"/>
        </w:rPr>
        <w:t xml:space="preserve">LECB BARCELONA FIR</w:t>
      </w:r>
      <w:r>
        <w:t xml:space="preserve">,</w:t>
      </w:r>
      <w:r>
        <w:t xml:space="preserve"> </w:t>
      </w:r>
      <w:r>
        <w:rPr>
          <w:rStyle w:val="VerbatimChar"/>
        </w:rPr>
        <w:t xml:space="preserve">LECB BARCELONA UIR</w:t>
      </w:r>
      <w:r>
        <w:t xml:space="preserve">, and</w:t>
      </w:r>
      <w:r>
        <w:t xml:space="preserve"> </w:t>
      </w:r>
      <w:r>
        <w:rPr>
          <w:rStyle w:val="VerbatimChar"/>
        </w:rPr>
        <w:t xml:space="preserve">LECB BARCELONA FIR/UIR</w:t>
      </w:r>
      <w:r>
        <w:t xml:space="preserve">, depending on which vertical portion of the airspace is affected by the hazard. Including the airspace type information can help users subscribe to the lower (or upper) airspace only.</w:t>
      </w:r>
    </w:p>
    <w:p>
      <w:pPr>
        <w:pStyle w:val="BodyText"/>
      </w:pPr>
      <w:r>
        <w:t xml:space="preserve">Values:</w:t>
      </w:r>
    </w:p>
    <w:p>
      <w:pPr>
        <w:pStyle w:val="Compact"/>
        <w:numPr>
          <w:ilvl w:val="0"/>
          <w:numId w:val="1026"/>
        </w:numPr>
      </w:pPr>
      <w:r>
        <w:rPr>
          <w:rStyle w:val="VerbatimChar"/>
        </w:rPr>
        <w:t xml:space="preserve">AD</w:t>
      </w:r>
      <w:r>
        <w:t xml:space="preserve"> </w:t>
      </w:r>
      <w:r>
        <w:t xml:space="preserve">- Aerodrome (for METAR/TAF)</w:t>
      </w:r>
    </w:p>
    <w:p>
      <w:pPr>
        <w:pStyle w:val="Compact"/>
        <w:numPr>
          <w:ilvl w:val="1"/>
          <w:numId w:val="1027"/>
        </w:numPr>
      </w:pPr>
      <w:r>
        <w:t xml:space="preserve">From AIXM</w:t>
      </w:r>
      <w:r>
        <w:t xml:space="preserve"> </w:t>
      </w:r>
      <w:hyperlink r:id="rId57">
        <w:r>
          <w:rPr>
            <w:rStyle w:val="Hyperlink"/>
          </w:rPr>
          <w:t xml:space="preserve">AirportHeliportType</w:t>
        </w:r>
      </w:hyperlink>
    </w:p>
    <w:p>
      <w:pPr>
        <w:pStyle w:val="Compact"/>
        <w:numPr>
          <w:ilvl w:val="0"/>
          <w:numId w:val="1026"/>
        </w:numPr>
      </w:pPr>
      <w:r>
        <w:rPr>
          <w:rStyle w:val="VerbatimChar"/>
        </w:rPr>
        <w:t xml:space="preserve">FIR</w:t>
      </w:r>
      <w:r>
        <w:t xml:space="preserve"> </w:t>
      </w:r>
      <w:r>
        <w:t xml:space="preserve">- Flight Information Region (for SIGMET)</w:t>
      </w:r>
    </w:p>
    <w:p>
      <w:pPr>
        <w:pStyle w:val="Compact"/>
        <w:numPr>
          <w:ilvl w:val="1"/>
          <w:numId w:val="1028"/>
        </w:numPr>
      </w:pPr>
      <w:r>
        <w:t xml:space="preserve">From AIXM</w:t>
      </w:r>
      <w:r>
        <w:t xml:space="preserve"> </w:t>
      </w:r>
      <w:hyperlink r:id="rId58">
        <w:r>
          <w:rPr>
            <w:rStyle w:val="Hyperlink"/>
          </w:rPr>
          <w:t xml:space="preserve">AirspaceType</w:t>
        </w:r>
      </w:hyperlink>
    </w:p>
    <w:p>
      <w:pPr>
        <w:pStyle w:val="Compact"/>
        <w:numPr>
          <w:ilvl w:val="0"/>
          <w:numId w:val="1026"/>
        </w:numPr>
      </w:pPr>
      <w:r>
        <w:rPr>
          <w:rStyle w:val="VerbatimChar"/>
        </w:rPr>
        <w:t xml:space="preserve">UIR</w:t>
      </w:r>
      <w:r>
        <w:t xml:space="preserve"> </w:t>
      </w:r>
      <w:r>
        <w:t xml:space="preserve">- Upper Information Region</w:t>
      </w:r>
    </w:p>
    <w:p>
      <w:pPr>
        <w:pStyle w:val="Compact"/>
        <w:numPr>
          <w:ilvl w:val="1"/>
          <w:numId w:val="1029"/>
        </w:numPr>
      </w:pPr>
      <w:r>
        <w:t xml:space="preserve">From AIXM</w:t>
      </w:r>
      <w:r>
        <w:t xml:space="preserve"> </w:t>
      </w:r>
      <w:hyperlink r:id="rId58">
        <w:r>
          <w:rPr>
            <w:rStyle w:val="Hyperlink"/>
          </w:rPr>
          <w:t xml:space="preserve">AirspaceType</w:t>
        </w:r>
      </w:hyperlink>
    </w:p>
    <w:p>
      <w:pPr>
        <w:pStyle w:val="Compact"/>
        <w:numPr>
          <w:ilvl w:val="0"/>
          <w:numId w:val="1026"/>
        </w:numPr>
      </w:pPr>
      <w:r>
        <w:rPr>
          <w:rStyle w:val="VerbatimChar"/>
        </w:rPr>
        <w:t xml:space="preserve">CTA</w:t>
      </w:r>
      <w:r>
        <w:t xml:space="preserve"> </w:t>
      </w:r>
      <w:r>
        <w:t xml:space="preserve">- Control Area</w:t>
      </w:r>
    </w:p>
    <w:p>
      <w:pPr>
        <w:pStyle w:val="Compact"/>
        <w:numPr>
          <w:ilvl w:val="1"/>
          <w:numId w:val="1030"/>
        </w:numPr>
      </w:pPr>
      <w:r>
        <w:t xml:space="preserve">From AIXM</w:t>
      </w:r>
      <w:r>
        <w:t xml:space="preserve"> </w:t>
      </w:r>
      <w:hyperlink r:id="rId58">
        <w:r>
          <w:rPr>
            <w:rStyle w:val="Hyperlink"/>
          </w:rPr>
          <w:t xml:space="preserve">AirspaceType</w:t>
        </w:r>
      </w:hyperlink>
    </w:p>
    <w:p>
      <w:pPr>
        <w:pStyle w:val="Compact"/>
        <w:numPr>
          <w:ilvl w:val="0"/>
          <w:numId w:val="1026"/>
        </w:numPr>
      </w:pPr>
      <w:r>
        <w:rPr>
          <w:rStyle w:val="VerbatimChar"/>
        </w:rPr>
        <w:t xml:space="preserve">OTHER:FIR_UIR</w:t>
      </w:r>
      <w:r>
        <w:t xml:space="preserve"> </w:t>
      </w:r>
      <w:r>
        <w:t xml:space="preserve">- Combined FIR/UIR</w:t>
      </w:r>
    </w:p>
    <w:p>
      <w:pPr>
        <w:pStyle w:val="Compact"/>
        <w:numPr>
          <w:ilvl w:val="1"/>
          <w:numId w:val="1031"/>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9">
        <w:r>
          <w:rPr>
            <w:rStyle w:val="Hyperlink"/>
          </w:rPr>
          <w:t xml:space="preserve">https://schemas.wmo.int/iwxxm/2025-2RC1/examples/sigmet-A6-1a-TS.xml</w:t>
        </w:r>
      </w:hyperlink>
    </w:p>
    <w:bookmarkEnd w:id="60"/>
    <w:bookmarkStart w:id="61"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2"/>
        </w:numPr>
      </w:pPr>
      <w:r>
        <w:rPr>
          <w:rStyle w:val="VerbatimChar"/>
        </w:rPr>
        <w:t xml:space="preserve">https://eur-registry.swim.aero/services/eurocontrol-iwxxm-metar-speci-subscription-and-request-service-10</w:t>
      </w:r>
    </w:p>
    <w:p>
      <w:pPr>
        <w:pStyle w:val="Compact"/>
        <w:numPr>
          <w:ilvl w:val="0"/>
          <w:numId w:val="1032"/>
        </w:numPr>
      </w:pPr>
      <w:r>
        <w:rPr>
          <w:rStyle w:val="VerbatimChar"/>
        </w:rPr>
        <w:t xml:space="preserve">https://eur-registry.swim.aero/services/eurocontrol-iwxxm-taf-subscription-and-request-service-10</w:t>
      </w:r>
    </w:p>
    <w:p>
      <w:pPr>
        <w:pStyle w:val="Compact"/>
        <w:numPr>
          <w:ilvl w:val="0"/>
          <w:numId w:val="1032"/>
        </w:numPr>
      </w:pPr>
      <w:r>
        <w:rPr>
          <w:rStyle w:val="VerbatimChar"/>
        </w:rPr>
        <w:t xml:space="preserve">https://eur-registry.swim.aero/services/eurocontrol-iwxxm-sigmet-subscription-and-request-service-10</w:t>
      </w:r>
    </w:p>
    <w:bookmarkEnd w:id="61"/>
    <w:bookmarkEnd w:id="62"/>
    <w:bookmarkStart w:id="69" w:name="temporal-application-properties"/>
    <w:p>
      <w:pPr>
        <w:pStyle w:val="Heading2"/>
      </w:pPr>
      <w:r>
        <w:rPr>
          <w:rStyle w:val="SectionNumber"/>
        </w:rPr>
        <w:t xml:space="preserve">8.3</w:t>
      </w:r>
      <w:r>
        <w:tab/>
      </w:r>
      <w:r>
        <w:t xml:space="preserve">Temporal Application Properties</w:t>
      </w:r>
    </w:p>
    <w:p>
      <w:pPr>
        <w:pStyle w:val="FirstParagraph"/>
      </w:pPr>
      <w:r>
        <w:t xml:space="preserve">These properties contain date and time information extracted from the IWXXM document.</w:t>
      </w:r>
    </w:p>
    <w:bookmarkStart w:id="64" w:name="issue_datetime-mandatory"/>
    <w:p>
      <w:pPr>
        <w:pStyle w:val="Heading3"/>
      </w:pPr>
      <w:r>
        <w:rPr>
          <w:rStyle w:val="SectionNumber"/>
        </w:rPr>
        <w:t xml:space="preserve">8.3.1</w:t>
      </w:r>
      <w:r>
        <w:tab/>
      </w:r>
      <w:r>
        <w:t xml:space="preserve">issue_datetime (mandatory)</w:t>
      </w:r>
    </w:p>
    <w:p>
      <w:pPr>
        <w:pStyle w:val="FirstParagraph"/>
      </w:pPr>
      <w:hyperlink r:id="rId63">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issue_datetime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publication time in WNM refers to when the notification message was sent, rather than time of issuing of the meteorological report itself. Time of sending of the notification message is better represented by the</w:t>
      </w:r>
      <w:r>
        <w:t xml:space="preserve"> </w:t>
      </w:r>
      <w:r>
        <w:rPr>
          <w:rStyle w:val="VerbatimChar"/>
        </w:rPr>
        <w:t xml:space="preserve">creation-time</w:t>
      </w:r>
      <w:r>
        <w:t xml:space="preserve"> </w:t>
      </w:r>
      <w:r>
        <w:t xml:space="preserve">in the AMQP transport header.</w:t>
      </w:r>
    </w:p>
    <w:bookmarkEnd w:id="64"/>
    <w:bookmarkStart w:id="66" w:name="datetime-conditional"/>
    <w:p>
      <w:pPr>
        <w:pStyle w:val="Heading3"/>
      </w:pPr>
      <w:r>
        <w:rPr>
          <w:rStyle w:val="SectionNumber"/>
        </w:rPr>
        <w:t xml:space="preserve">8.3.2</w:t>
      </w:r>
      <w:r>
        <w:tab/>
      </w:r>
      <w:r>
        <w:t xml:space="preserve">datetime (conditional)</w:t>
      </w:r>
    </w:p>
    <w:p>
      <w:pPr>
        <w:pStyle w:val="FirstParagraph"/>
      </w:pPr>
      <w:r>
        <w:t xml:space="preserve">For METAR/SPECI only - observation time in</w:t>
      </w:r>
      <w:r>
        <w:t xml:space="preserve"> </w:t>
      </w:r>
      <w:hyperlink r:id="rId63">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65">
        <w:r>
          <w:rPr>
            <w:rStyle w:val="Hyperlink"/>
          </w:rPr>
          <w:t xml:space="preserve">Properties / Temporal description</w:t>
        </w:r>
      </w:hyperlink>
      <w:r>
        <w:t xml:space="preserve"> </w:t>
      </w:r>
      <w:r>
        <w:t xml:space="preserve">in the WNM specification.</w:t>
      </w:r>
    </w:p>
    <w:bookmarkEnd w:id="66"/>
    <w:bookmarkStart w:id="67" w:name="start_datetime-conditional"/>
    <w:p>
      <w:pPr>
        <w:pStyle w:val="Heading3"/>
      </w:pPr>
      <w:r>
        <w:rPr>
          <w:rStyle w:val="SectionNumber"/>
        </w:rPr>
        <w:t xml:space="preserve">8.3.3</w:t>
      </w:r>
      <w:r>
        <w:tab/>
      </w:r>
      <w:r>
        <w:t xml:space="preserve">start_datetime (conditional)</w:t>
      </w:r>
    </w:p>
    <w:p>
      <w:pPr>
        <w:pStyle w:val="FirstParagraph"/>
      </w:pPr>
      <w:r>
        <w:t xml:space="preserve">For TAF/SIGMET - start of validity period in</w:t>
      </w:r>
      <w:r>
        <w:t xml:space="preserve"> </w:t>
      </w:r>
      <w:hyperlink r:id="rId63">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5">
        <w:r>
          <w:rPr>
            <w:rStyle w:val="Hyperlink"/>
          </w:rPr>
          <w:t xml:space="preserve">Properties / Temporal description</w:t>
        </w:r>
      </w:hyperlink>
      <w:r>
        <w:t xml:space="preserve"> </w:t>
      </w:r>
      <w:r>
        <w:t xml:space="preserve">in the WNM specification.</w:t>
      </w:r>
    </w:p>
    <w:bookmarkEnd w:id="67"/>
    <w:bookmarkStart w:id="68" w:name="end_datetime-conditional"/>
    <w:p>
      <w:pPr>
        <w:pStyle w:val="Heading3"/>
      </w:pPr>
      <w:r>
        <w:rPr>
          <w:rStyle w:val="SectionNumber"/>
        </w:rPr>
        <w:t xml:space="preserve">8.3.4</w:t>
      </w:r>
      <w:r>
        <w:tab/>
      </w:r>
      <w:r>
        <w:t xml:space="preserve">end_datetime (conditional)</w:t>
      </w:r>
    </w:p>
    <w:p>
      <w:pPr>
        <w:pStyle w:val="FirstParagraph"/>
      </w:pPr>
      <w:r>
        <w:t xml:space="preserve">For TAF/SIGMET - end of validity period in</w:t>
      </w:r>
      <w:r>
        <w:t xml:space="preserve"> </w:t>
      </w:r>
      <w:hyperlink r:id="rId63">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8"/>
    <w:bookmarkEnd w:id="69"/>
    <w:bookmarkStart w:id="71"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70">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1"/>
    <w:bookmarkEnd w:id="72"/>
    <w:bookmarkStart w:id="73"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3"/>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3"/>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3"/>
    <w:bookmarkStart w:id="83" w:name="broker-and-client-library-compatibility"/>
    <w:p>
      <w:pPr>
        <w:pStyle w:val="Heading1"/>
      </w:pPr>
      <w:r>
        <w:rPr>
          <w:rStyle w:val="SectionNumber"/>
        </w:rPr>
        <w:t xml:space="preserve">10</w:t>
      </w:r>
      <w:r>
        <w:tab/>
      </w:r>
      <w:r>
        <w:t xml:space="preserve">Broker and Client Library Compatibility</w:t>
      </w:r>
    </w:p>
    <w:bookmarkStart w:id="74"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4"/>
    <w:bookmarkStart w:id="82"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76" w:name="javascriptnode.js"/>
    <w:p>
      <w:pPr>
        <w:pStyle w:val="Heading3"/>
      </w:pPr>
      <w:r>
        <w:rPr>
          <w:rStyle w:val="SectionNumber"/>
        </w:rPr>
        <w:t xml:space="preserve">10.2.1</w:t>
      </w:r>
      <w:r>
        <w:tab/>
      </w:r>
      <w:r>
        <w:t xml:space="preserve">JavaScript/Node.js</w:t>
      </w:r>
    </w:p>
    <w:p>
      <w:pPr>
        <w:pStyle w:val="Compact"/>
        <w:numPr>
          <w:ilvl w:val="0"/>
          <w:numId w:val="1034"/>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5">
        <w:r>
          <w:rPr>
            <w:rStyle w:val="Hyperlink"/>
          </w:rPr>
          <w:t xml:space="preserve">https://github.com/amqp/rhea</w:t>
        </w:r>
      </w:hyperlink>
      <w:r>
        <w:t xml:space="preserve">.</w:t>
      </w:r>
    </w:p>
    <w:bookmarkEnd w:id="76"/>
    <w:bookmarkStart w:id="78" w:name="python"/>
    <w:p>
      <w:pPr>
        <w:pStyle w:val="Heading3"/>
      </w:pPr>
      <w:r>
        <w:rPr>
          <w:rStyle w:val="SectionNumber"/>
        </w:rPr>
        <w:t xml:space="preserve">10.2.2</w:t>
      </w:r>
      <w:r>
        <w:tab/>
      </w:r>
      <w:r>
        <w:t xml:space="preserve">Python</w:t>
      </w:r>
    </w:p>
    <w:p>
      <w:pPr>
        <w:pStyle w:val="Compact"/>
        <w:numPr>
          <w:ilvl w:val="0"/>
          <w:numId w:val="1035"/>
        </w:numPr>
      </w:pPr>
      <w:r>
        <w:rPr>
          <w:b/>
          <w:bCs/>
        </w:rPr>
        <w:t xml:space="preserve">Qpid Proton Python API</w:t>
      </w:r>
      <w:r>
        <w:t xml:space="preserve"> </w:t>
      </w:r>
      <w:r>
        <w:t xml:space="preserve">- Part of</w:t>
      </w:r>
      <w:r>
        <w:t xml:space="preserve"> </w:t>
      </w:r>
      <w:hyperlink r:id="rId77">
        <w:r>
          <w:rPr>
            <w:rStyle w:val="Hyperlink"/>
          </w:rPr>
          <w:t xml:space="preserve">Apache Qpid Proton</w:t>
        </w:r>
      </w:hyperlink>
      <w:r>
        <w:t xml:space="preserve">, this is a mature and well-tested library with full AMQP 1.0 support. Successfully used with ActiveMQ Artemis, RabbitMQ, and other AMQP 1.0 brokers.</w:t>
      </w:r>
    </w:p>
    <w:bookmarkEnd w:id="78"/>
    <w:bookmarkStart w:id="79" w:name="c"/>
    <w:p>
      <w:pPr>
        <w:pStyle w:val="Heading3"/>
      </w:pPr>
      <w:r>
        <w:rPr>
          <w:rStyle w:val="SectionNumber"/>
        </w:rPr>
        <w:t xml:space="preserve">10.2.3</w:t>
      </w:r>
      <w:r>
        <w:tab/>
      </w:r>
      <w:r>
        <w:t xml:space="preserve">C++</w:t>
      </w:r>
    </w:p>
    <w:p>
      <w:pPr>
        <w:pStyle w:val="Compact"/>
        <w:numPr>
          <w:ilvl w:val="0"/>
          <w:numId w:val="1036"/>
        </w:numPr>
      </w:pPr>
      <w:r>
        <w:rPr>
          <w:b/>
          <w:bCs/>
        </w:rPr>
        <w:t xml:space="preserve">Qpid Proton C++</w:t>
      </w:r>
      <w:r>
        <w:t xml:space="preserve"> </w:t>
      </w:r>
      <w:r>
        <w:t xml:space="preserve">- Part of</w:t>
      </w:r>
      <w:r>
        <w:t xml:space="preserve"> </w:t>
      </w:r>
      <w:hyperlink r:id="rId77">
        <w:r>
          <w:rPr>
            <w:rStyle w:val="Hyperlink"/>
          </w:rPr>
          <w:t xml:space="preserve">Apache Qpid Proton</w:t>
        </w:r>
      </w:hyperlink>
      <w:r>
        <w:t xml:space="preserve">, verified to work properly with AMQP 1.0 brokers. Provides a portable C implementation with C++ bindings.</w:t>
      </w:r>
    </w:p>
    <w:bookmarkEnd w:id="79"/>
    <w:bookmarkStart w:id="80" w:name="java"/>
    <w:p>
      <w:pPr>
        <w:pStyle w:val="Heading3"/>
      </w:pPr>
      <w:r>
        <w:rPr>
          <w:rStyle w:val="SectionNumber"/>
        </w:rPr>
        <w:t xml:space="preserve">10.2.4</w:t>
      </w:r>
      <w:r>
        <w:tab/>
      </w:r>
      <w:r>
        <w:t xml:space="preserve">Java</w:t>
      </w:r>
    </w:p>
    <w:p>
      <w:pPr>
        <w:pStyle w:val="Compact"/>
        <w:numPr>
          <w:ilvl w:val="0"/>
          <w:numId w:val="1037"/>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80"/>
    <w:bookmarkStart w:id="81" w:name="dotnet"/>
    <w:p>
      <w:pPr>
        <w:pStyle w:val="Heading3"/>
      </w:pPr>
      <w:r>
        <w:rPr>
          <w:rStyle w:val="SectionNumber"/>
        </w:rPr>
        <w:t xml:space="preserve">10.2.5</w:t>
      </w:r>
      <w:r>
        <w:tab/>
      </w:r>
      <w:r>
        <w:t xml:space="preserve">DotNet</w:t>
      </w:r>
    </w:p>
    <w:p>
      <w:pPr>
        <w:pStyle w:val="Compact"/>
        <w:numPr>
          <w:ilvl w:val="0"/>
          <w:numId w:val="1038"/>
        </w:numPr>
      </w:pPr>
      <w:r>
        <w:rPr>
          <w:b/>
          <w:bCs/>
        </w:rPr>
        <w:t xml:space="preserve">Qpid Proton DotNet</w:t>
      </w:r>
      <w:r>
        <w:t xml:space="preserve"> </w:t>
      </w:r>
      <w:r>
        <w:t xml:space="preserve">- .NET implementation from</w:t>
      </w:r>
      <w:r>
        <w:t xml:space="preserve"> </w:t>
      </w:r>
      <w:hyperlink r:id="rId77">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1"/>
    <w:bookmarkEnd w:id="82"/>
    <w:bookmarkEnd w:id="83"/>
    <w:bookmarkStart w:id="87" w:name="amqp-message-examples"/>
    <w:p>
      <w:pPr>
        <w:pStyle w:val="Heading1"/>
      </w:pPr>
      <w:r>
        <w:rPr>
          <w:rStyle w:val="SectionNumber"/>
        </w:rPr>
        <w:t xml:space="preserve">11</w:t>
      </w:r>
      <w:r>
        <w:tab/>
      </w:r>
      <w:r>
        <w:t xml:space="preserve">AMQP Message Examples</w:t>
      </w:r>
    </w:p>
    <w:bookmarkStart w:id="84"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issue_datetime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4"/>
    <w:bookmarkStart w:id="85"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issue_datetime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5"/>
    <w:bookmarkStart w:id="86"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issue_datetime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6"/>
    <w:bookmarkEnd w:id="87"/>
    <w:bookmarkStart w:id="94" w:name="appendices"/>
    <w:p>
      <w:pPr>
        <w:pStyle w:val="Heading1"/>
      </w:pPr>
      <w:r>
        <w:rPr>
          <w:rStyle w:val="SectionNumber"/>
        </w:rPr>
        <w:t xml:space="preserve">12</w:t>
      </w:r>
      <w:r>
        <w:tab/>
      </w:r>
      <w:r>
        <w:t xml:space="preserve">Appendices</w:t>
      </w:r>
    </w:p>
    <w:bookmarkStart w:id="93"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90"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8">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9"/>
        </w:numPr>
      </w:pPr>
      <w:r>
        <w:rPr>
          <w:b/>
          <w:bCs/>
        </w:rPr>
        <w:t xml:space="preserve">Parse the XML document</w:t>
      </w:r>
      <w:r>
        <w:t xml:space="preserve"> </w:t>
      </w:r>
      <w:r>
        <w:t xml:space="preserve">and access the root element</w:t>
      </w:r>
    </w:p>
    <w:p>
      <w:pPr>
        <w:pStyle w:val="Compact"/>
        <w:numPr>
          <w:ilvl w:val="0"/>
          <w:numId w:val="1039"/>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9"/>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9"/>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9"/>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9">
        <w:r>
          <w:rPr>
            <w:rStyle w:val="Hyperlink"/>
          </w:rPr>
          <w:t xml:space="preserve">IBL swimdemo iwxxm_utils.py</w:t>
        </w:r>
      </w:hyperlink>
      <w:r>
        <w:t xml:space="preserve"> </w:t>
      </w:r>
      <w:r>
        <w:t xml:space="preserve">provides a working example of this approach.</w:t>
      </w:r>
    </w:p>
    <w:p>
      <w:pPr>
        <w:pStyle w:val="BodyText"/>
      </w:pPr>
      <w:r>
        <w:rPr>
          <w:b/>
          <w:bCs/>
        </w:rPr>
        <w:t xml:space="preserve">Older vs. Current Namespace Examples</w:t>
      </w:r>
      <w:r>
        <w:t xml:space="preserve">:</w:t>
      </w:r>
    </w:p>
    <w:p>
      <w:pPr>
        <w:pStyle w:val="SourceCode"/>
      </w:pPr>
      <w:r>
        <w:rPr>
          <w:rStyle w:val="CommentTok"/>
        </w:rPr>
        <w:t xml:space="preserve">&lt;!-- Legacy IWXXM --&gt;</w:t>
      </w:r>
      <w:r>
        <w:br/>
      </w:r>
      <w:r>
        <w:rPr>
          <w:rStyle w:val="NormalTok"/>
        </w:rPr>
        <w:t xml:space="preserve">xmlns:iwxxm="http://icao.int/iwxxm/3.0"</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90"/>
    <w:bookmarkStart w:id="91"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40"/>
        </w:numPr>
      </w:pPr>
      <w:r>
        <w:rPr>
          <w:b/>
          <w:bCs/>
        </w:rPr>
        <w:t xml:space="preserve">METAR/SPECI</w:t>
      </w:r>
      <w:r>
        <w:t xml:space="preserve">:</w:t>
      </w:r>
      <w:r>
        <w:t xml:space="preserve"> </w:t>
      </w:r>
      <w:r>
        <w:rPr>
          <w:rStyle w:val="VerbatimChar"/>
        </w:rPr>
        <w:t xml:space="preserve">&lt;iwxxm:METAR&gt;</w:t>
      </w:r>
    </w:p>
    <w:p>
      <w:pPr>
        <w:pStyle w:val="Compact"/>
        <w:numPr>
          <w:ilvl w:val="0"/>
          <w:numId w:val="1040"/>
        </w:numPr>
      </w:pPr>
      <w:r>
        <w:rPr>
          <w:b/>
          <w:bCs/>
        </w:rPr>
        <w:t xml:space="preserve">TAF</w:t>
      </w:r>
      <w:r>
        <w:t xml:space="preserve">:</w:t>
      </w:r>
      <w:r>
        <w:t xml:space="preserve"> </w:t>
      </w:r>
      <w:r>
        <w:rPr>
          <w:rStyle w:val="VerbatimChar"/>
        </w:rPr>
        <w:t xml:space="preserve">&lt;iwxxm:TAF&gt;</w:t>
      </w:r>
    </w:p>
    <w:p>
      <w:pPr>
        <w:pStyle w:val="Compact"/>
        <w:numPr>
          <w:ilvl w:val="0"/>
          <w:numId w:val="1040"/>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1"/>
        </w:numPr>
      </w:pPr>
      <w:r>
        <w:rPr>
          <w:b/>
          <w:bCs/>
        </w:rPr>
        <w:t xml:space="preserve">Report metadata</w:t>
      </w:r>
      <w:r>
        <w:t xml:space="preserve"> </w:t>
      </w:r>
      <w:r>
        <w:t xml:space="preserve">(issue time, status, location references)</w:t>
      </w:r>
    </w:p>
    <w:p>
      <w:pPr>
        <w:pStyle w:val="Compact"/>
        <w:numPr>
          <w:ilvl w:val="0"/>
          <w:numId w:val="1041"/>
        </w:numPr>
      </w:pPr>
      <w:r>
        <w:rPr>
          <w:b/>
          <w:bCs/>
        </w:rPr>
        <w:t xml:space="preserve">Validity period</w:t>
      </w:r>
      <w:r>
        <w:t xml:space="preserve"> </w:t>
      </w:r>
      <w:r>
        <w:t xml:space="preserve">(for TAF and SIGMET)</w:t>
      </w:r>
    </w:p>
    <w:p>
      <w:pPr>
        <w:pStyle w:val="Compact"/>
        <w:numPr>
          <w:ilvl w:val="0"/>
          <w:numId w:val="1041"/>
        </w:numPr>
      </w:pPr>
      <w:r>
        <w:rPr>
          <w:b/>
          <w:bCs/>
        </w:rPr>
        <w:t xml:space="preserve">Observation time</w:t>
      </w:r>
      <w:r>
        <w:t xml:space="preserve"> </w:t>
      </w:r>
      <w:r>
        <w:t xml:space="preserve">(for METAR/SPECI)</w:t>
      </w:r>
    </w:p>
    <w:p>
      <w:pPr>
        <w:pStyle w:val="Compact"/>
        <w:numPr>
          <w:ilvl w:val="0"/>
          <w:numId w:val="1041"/>
        </w:numPr>
      </w:pPr>
      <w:r>
        <w:rPr>
          <w:b/>
          <w:bCs/>
        </w:rPr>
        <w:t xml:space="preserve">Location information</w:t>
      </w:r>
      <w:r>
        <w:t xml:space="preserve"> </w:t>
      </w:r>
      <w:r>
        <w:t xml:space="preserve">(aerodrome or airspace references)</w:t>
      </w:r>
    </w:p>
    <w:p>
      <w:pPr>
        <w:pStyle w:val="Compact"/>
        <w:numPr>
          <w:ilvl w:val="0"/>
          <w:numId w:val="1041"/>
        </w:numPr>
      </w:pPr>
      <w:r>
        <w:rPr>
          <w:b/>
          <w:bCs/>
        </w:rPr>
        <w:t xml:space="preserve">Meteorological content</w:t>
      </w:r>
      <w:r>
        <w:t xml:space="preserve"> </w:t>
      </w:r>
      <w:r>
        <w:t xml:space="preserve">(actual weather observations/forecasts)</w:t>
      </w:r>
    </w:p>
    <w:bookmarkEnd w:id="91"/>
    <w:bookmarkStart w:id="92" w:name="property-extraction-reference"/>
    <w:p>
      <w:pPr>
        <w:pStyle w:val="Heading3"/>
      </w:pPr>
      <w:r>
        <w:rPr>
          <w:rStyle w:val="SectionNumber"/>
        </w:rPr>
        <w:t xml:space="preserve">12.1.3</w:t>
      </w:r>
      <w:r>
        <w:tab/>
      </w:r>
      <w:r>
        <w:t xml:space="preserve">Property Extraction Reference</w:t>
      </w:r>
    </w:p>
    <w:p>
      <w:pPr>
        <w:pStyle w:val="FirstParagraph"/>
      </w:pPr>
      <w:r>
        <w:t xml:space="preserve">The table below summarises which IWXXM XML elements or attributes contain the information necessary to populate the message and application properties in AMQP.</w:t>
      </w:r>
    </w:p>
    <w:p>
      <w:pPr>
        <w:pStyle w:val="BodyText"/>
      </w:pPr>
      <w:r>
        <w:t xml:space="preserve">The guidance is compatible with IWXXM 3.0 and subsequent versions such as 2021-2 or 2023-1. It is not compatible with IWXXM 2.1 which had significantly different structure due to the usage of OM (Observation Model) schema. IWXXM 3.0 abandoned the Observation Model schema around 2018.</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issue_datetime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47" Target="http://docs.oasis-open.org/amqp/core/v1.0/os/amqp-core-types-v1.0-os.html#type-timestamp" TargetMode="External" /><Relationship Type="http://schemas.openxmlformats.org/officeDocument/2006/relationships/hyperlink" Id="rId58" Target="https://aixm.aero/sites/default/files/imce/AIXM511HTML/AIXM/DataType_CodeAirspaceType.html" TargetMode="External" /><Relationship Type="http://schemas.openxmlformats.org/officeDocument/2006/relationships/hyperlink" Id="rId57"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3" Target="https://datatracker.ietf.org/doc/html/rfc3339" TargetMode="External" /><Relationship Type="http://schemas.openxmlformats.org/officeDocument/2006/relationships/hyperlink" Id="rId52" Target="https://datatracker.ietf.org/doc/html/rfc7946" TargetMode="External" /><Relationship Type="http://schemas.openxmlformats.org/officeDocument/2006/relationships/hyperlink" Id="rId70"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1"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5"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9"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7" Target="https://qpid.apache.org/proton/index.html" TargetMode="External" /><Relationship Type="http://schemas.openxmlformats.org/officeDocument/2006/relationships/hyperlink" Id="rId88" Target="https://schemas.wmo.int/iwxxm/2023-1/" TargetMode="External" /><Relationship Type="http://schemas.openxmlformats.org/officeDocument/2006/relationships/hyperlink" Id="rId59"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5" Target="https://wmo-im.github.io/wis2-notification-message/standard/wis2-notification-message-STABLE.html#_1_12_properties_temporal_description" TargetMode="External" /><Relationship Type="http://schemas.openxmlformats.org/officeDocument/2006/relationships/hyperlink" Id="rId53"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47" Target="http://docs.oasis-open.org/amqp/core/v1.0/os/amqp-core-types-v1.0-os.html#type-timestamp" TargetMode="External" /><Relationship Type="http://schemas.openxmlformats.org/officeDocument/2006/relationships/hyperlink" Id="rId58" Target="https://aixm.aero/sites/default/files/imce/AIXM511HTML/AIXM/DataType_CodeAirspaceType.html" TargetMode="External" /><Relationship Type="http://schemas.openxmlformats.org/officeDocument/2006/relationships/hyperlink" Id="rId57"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3" Target="https://datatracker.ietf.org/doc/html/rfc3339" TargetMode="External" /><Relationship Type="http://schemas.openxmlformats.org/officeDocument/2006/relationships/hyperlink" Id="rId52" Target="https://datatracker.ietf.org/doc/html/rfc7946" TargetMode="External" /><Relationship Type="http://schemas.openxmlformats.org/officeDocument/2006/relationships/hyperlink" Id="rId70"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1"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5"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9"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7" Target="https://qpid.apache.org/proton/index.html" TargetMode="External" /><Relationship Type="http://schemas.openxmlformats.org/officeDocument/2006/relationships/hyperlink" Id="rId88" Target="https://schemas.wmo.int/iwxxm/2023-1/" TargetMode="External" /><Relationship Type="http://schemas.openxmlformats.org/officeDocument/2006/relationships/hyperlink" Id="rId59"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5" Target="https://wmo-im.github.io/wis2-notification-message/standard/wis2-notification-message-STABLE.html#_1_12_properties_temporal_description" TargetMode="External" /><Relationship Type="http://schemas.openxmlformats.org/officeDocument/2006/relationships/hyperlink" Id="rId53"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2025-08-20T17:40:44Z</dcterms:created>
  <dcterms:modified xsi:type="dcterms:W3CDTF">2025-08-20T17:40:44Z</dcterms:modified>
</cp:coreProperties>
</file>

<file path=docProps/custom.xml><?xml version="1.0" encoding="utf-8"?>
<Properties xmlns="http://schemas.openxmlformats.org/officeDocument/2006/custom-properties" xmlns:vt="http://schemas.openxmlformats.org/officeDocument/2006/docPropsVTypes"/>
</file>