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FirstParagraph"/>
      </w:pPr>
      <w:r>
        <w:t xml:space="preserve">Members of the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p>
      <w:pPr>
        <w:pStyle w:val="Compact"/>
        <w:numPr>
          <w:ilvl w:val="0"/>
          <w:numId w:val="1002"/>
        </w:numPr>
      </w:pPr>
      <w:r>
        <w:t xml:space="preserve">1.0-draft1 (June 2025) Initial draft.</w:t>
      </w:r>
    </w:p>
    <w:p>
      <w:pPr>
        <w:pStyle w:val="Compact"/>
        <w:numPr>
          <w:ilvl w:val="0"/>
          <w:numId w:val="1002"/>
        </w:numPr>
      </w:pPr>
      <w:r>
        <w:t xml:space="preserve">1.0-draft2 (August 2025)</w:t>
      </w:r>
    </w:p>
    <w:p>
      <w:pPr>
        <w:pStyle w:val="Compact"/>
        <w:numPr>
          <w:ilvl w:val="1"/>
          <w:numId w:val="1003"/>
        </w:numPr>
      </w:pPr>
      <w:r>
        <w:t xml:space="preserve">Separated into guidance for CP1 (this document), and a</w:t>
      </w:r>
      <w:r>
        <w:t xml:space="preserve"> </w:t>
      </w:r>
      <w:r>
        <w:t xml:space="preserve">“Next”</w:t>
      </w:r>
      <w:r>
        <w:t xml:space="preserve"> </w:t>
      </w:r>
      <w:r>
        <w:t xml:space="preserve">document that contains the preparations for further extensions beyond CP1.</w:t>
      </w:r>
    </w:p>
    <w:p>
      <w:pPr>
        <w:pStyle w:val="Compact"/>
        <w:numPr>
          <w:ilvl w:val="1"/>
          <w:numId w:val="1003"/>
        </w:numPr>
      </w:pPr>
      <w:r>
        <w:t xml:space="preserve">Removed content not directly relevant for CP1:</w:t>
      </w:r>
    </w:p>
    <w:p>
      <w:pPr>
        <w:pStyle w:val="Compact"/>
        <w:numPr>
          <w:ilvl w:val="2"/>
          <w:numId w:val="1004"/>
        </w:numPr>
      </w:pPr>
      <w:r>
        <w:t xml:space="preserve">External URL links for download of alternative formats (IWXXM will be passed in the message payload)</w:t>
      </w:r>
    </w:p>
    <w:p>
      <w:pPr>
        <w:pStyle w:val="Compact"/>
        <w:numPr>
          <w:ilvl w:val="2"/>
          <w:numId w:val="1004"/>
        </w:numPr>
      </w:pPr>
      <w:r>
        <w:t xml:space="preserve">Content type</w:t>
      </w:r>
      <w:r>
        <w:t xml:space="preserve"> </w:t>
      </w:r>
      <w:r>
        <w:t xml:space="preserve">“application/url-list”</w:t>
      </w:r>
    </w:p>
    <w:p>
      <w:pPr>
        <w:pStyle w:val="Compact"/>
        <w:numPr>
          <w:ilvl w:val="2"/>
          <w:numId w:val="1004"/>
        </w:numPr>
      </w:pPr>
      <w:r>
        <w:t xml:space="preserve">Geometry properties (aerodrome coordinates, SIGMET bounding boxes)</w:t>
      </w:r>
    </w:p>
    <w:p>
      <w:pPr>
        <w:pStyle w:val="Compact"/>
        <w:numPr>
          <w:ilvl w:val="2"/>
          <w:numId w:val="1004"/>
        </w:numPr>
      </w:pPr>
      <w:r>
        <w:t xml:space="preserve">Payload integrity properties that were based on WIS 2.0 WNM, and SWIM TI Yellow Profile 2.0 mandates the use of S/MIME 4.0 for this purpose.</w:t>
      </w:r>
    </w:p>
    <w:p>
      <w:pPr>
        <w:pStyle w:val="Compact"/>
        <w:numPr>
          <w:ilvl w:val="2"/>
          <w:numId w:val="1004"/>
        </w:numPr>
      </w:pPr>
      <w:r>
        <w:t xml:space="preserve">Technical messages</w:t>
      </w:r>
    </w:p>
    <w:p>
      <w:pPr>
        <w:pStyle w:val="Compact"/>
        <w:numPr>
          <w:ilvl w:val="1"/>
          <w:numId w:val="1003"/>
        </w:numPr>
      </w:pPr>
      <w:r>
        <w:t xml:space="preserve">The only way to send IWWXM is now embedding the data in the AMQP message payload with the content type</w:t>
      </w:r>
      <w:r>
        <w:t xml:space="preserve"> </w:t>
      </w:r>
      <w:r>
        <w:rPr>
          <w:rStyle w:val="VerbatimChar"/>
        </w:rPr>
        <w:t xml:space="preserve">application/xml</w:t>
      </w:r>
      <w:r>
        <w:t xml:space="preserve">. All mentions of</w:t>
      </w:r>
      <w:r>
        <w:t xml:space="preserve"> </w:t>
      </w:r>
      <w:r>
        <w:rPr>
          <w:rStyle w:val="VerbatimChar"/>
        </w:rPr>
        <w:t xml:space="preserve">links</w:t>
      </w:r>
      <w:r>
        <w:t xml:space="preserve"> </w:t>
      </w:r>
      <w:r>
        <w:t xml:space="preserve">and</w:t>
      </w:r>
      <w:r>
        <w:t xml:space="preserve"> </w:t>
      </w:r>
      <w:r>
        <w:rPr>
          <w:rStyle w:val="VerbatimChar"/>
        </w:rPr>
        <w:t xml:space="preserve">url-list</w:t>
      </w:r>
      <w:r>
        <w:t xml:space="preserve"> </w:t>
      </w:r>
      <w:r>
        <w:t xml:space="preserve">have been removed.</w:t>
      </w:r>
    </w:p>
    <w:p>
      <w:pPr>
        <w:pStyle w:val="Compact"/>
        <w:numPr>
          <w:ilvl w:val="1"/>
          <w:numId w:val="1003"/>
        </w:numPr>
      </w:pPr>
      <w:r>
        <w:t xml:space="preserve">Discarded</w:t>
      </w:r>
      <w:r>
        <w:t xml:space="preserve"> </w:t>
      </w:r>
      <w:r>
        <w:rPr>
          <w:rStyle w:val="VerbatimChar"/>
        </w:rPr>
        <w:t xml:space="preserve">subject</w:t>
      </w:r>
      <w:r>
        <w:t xml:space="preserve"> </w:t>
      </w:r>
      <w:r>
        <w:t xml:space="preserve">strings of type</w:t>
      </w:r>
      <w:r>
        <w:t xml:space="preserve"> </w:t>
      </w:r>
      <w:r>
        <w:rPr>
          <w:rStyle w:val="VerbatimChar"/>
        </w:rPr>
        <w:t xml:space="preserve">DATA_METAR_LOWS_CORRECTION_2025040106450</w:t>
      </w:r>
      <w:r>
        <w:t xml:space="preserve"> </w:t>
      </w:r>
      <w:r>
        <w:t xml:space="preserve">because they create duplicity to the AMQP application properties, which are a much better filtering mechanism compared to application of wildcard patterns to a subject string (suggestion by Dario di Crescenzo).</w:t>
      </w:r>
    </w:p>
    <w:p>
      <w:pPr>
        <w:pStyle w:val="Compact"/>
        <w:numPr>
          <w:ilvl w:val="1"/>
          <w:numId w:val="1003"/>
        </w:numPr>
      </w:pPr>
      <w:r>
        <w:t xml:space="preserve">The</w:t>
      </w:r>
      <w:r>
        <w:t xml:space="preserve"> </w:t>
      </w:r>
      <w:r>
        <w:t xml:space="preserve">“subject”</w:t>
      </w:r>
      <w:r>
        <w:t xml:space="preserve"> </w:t>
      </w:r>
      <w:r>
        <w:t xml:space="preserve">string now contains</w:t>
      </w:r>
      <w:r>
        <w:t xml:space="preserve"> </w:t>
      </w:r>
      <w:r>
        <w:rPr>
          <w:rStyle w:val="VerbatimChar"/>
        </w:rPr>
        <w:t xml:space="preserve">aviation.weather.metar</w:t>
      </w:r>
      <w:r>
        <w:t xml:space="preserve">.</w:t>
      </w:r>
    </w:p>
    <w:p>
      <w:pPr>
        <w:pStyle w:val="Compact"/>
        <w:numPr>
          <w:ilvl w:val="1"/>
          <w:numId w:val="1003"/>
        </w:numPr>
      </w:pPr>
      <w:r>
        <w:t xml:space="preserve">Dropped all</w:t>
      </w:r>
      <w:r>
        <w:t xml:space="preserve"> </w:t>
      </w:r>
      <w:r>
        <w:rPr>
          <w:rStyle w:val="VerbatimChar"/>
        </w:rPr>
        <w:t xml:space="preserve">properties.</w:t>
      </w:r>
      <w:r>
        <w:t xml:space="preserve"> </w:t>
      </w:r>
      <w:r>
        <w:t xml:space="preserve">prefixes, e.g. </w:t>
      </w:r>
      <w:r>
        <w:rPr>
          <w:rStyle w:val="VerbatimChar"/>
        </w:rPr>
        <w:t xml:space="preserve">properties.start_datetime</w:t>
      </w:r>
      <w:r>
        <w:t xml:space="preserve">. The</w:t>
      </w:r>
      <w:r>
        <w:t xml:space="preserve"> </w:t>
      </w:r>
      <w:r>
        <w:rPr>
          <w:rStyle w:val="VerbatimChar"/>
        </w:rPr>
        <w:t xml:space="preserve">properties</w:t>
      </w:r>
      <w:r>
        <w:t xml:space="preserve"> </w:t>
      </w:r>
      <w:r>
        <w:t xml:space="preserve">object is used in the WIS 2.0 Notification Message (WNM) standard because the WNM notifications conform to the GeoJSON structure. The GeoJSON specification mandates that all custom properties must be placed in a separate</w:t>
      </w:r>
      <w:r>
        <w:t xml:space="preserve"> </w:t>
      </w:r>
      <w:r>
        <w:rPr>
          <w:rStyle w:val="VerbatimChar"/>
        </w:rPr>
        <w:t xml:space="preserve">properties</w:t>
      </w:r>
      <w:r>
        <w:t xml:space="preserve"> </w:t>
      </w:r>
      <w:r>
        <w:t xml:space="preserve">sub-object. In AMQP, however, the application properties concept is the direct equivalent of the GeoJSON properties - it is a list of application-defined data. So, there is no strict need to use prefixes.</w:t>
      </w:r>
    </w:p>
    <w:p>
      <w:pPr>
        <w:pStyle w:val="Compact"/>
        <w:numPr>
          <w:ilvl w:val="1"/>
          <w:numId w:val="1003"/>
        </w:numPr>
      </w:pPr>
      <w:r>
        <w:t xml:space="preserve">New application property</w:t>
      </w:r>
      <w:r>
        <w:t xml:space="preserve"> </w:t>
      </w:r>
      <w:r>
        <w:rPr>
          <w:rStyle w:val="VerbatimChar"/>
        </w:rPr>
        <w:t xml:space="preserve">report_type</w:t>
      </w:r>
      <w:r>
        <w:t xml:space="preserve"> </w:t>
      </w:r>
      <w:r>
        <w:t xml:space="preserve">with values</w:t>
      </w:r>
      <w:r>
        <w:t xml:space="preserve"> </w:t>
      </w:r>
      <w:r>
        <w:rPr>
          <w:i/>
          <w:iCs/>
        </w:rPr>
        <w:t xml:space="preserve">NORMAL</w:t>
      </w:r>
      <w:r>
        <w:t xml:space="preserve">,</w:t>
      </w:r>
      <w:r>
        <w:t xml:space="preserve"> </w:t>
      </w:r>
      <w:r>
        <w:rPr>
          <w:i/>
          <w:iCs/>
        </w:rPr>
        <w:t xml:space="preserve">AMENDMENT</w:t>
      </w:r>
      <w:r>
        <w:t xml:space="preserve">,</w:t>
      </w:r>
      <w:r>
        <w:t xml:space="preserve"> </w:t>
      </w:r>
      <w:r>
        <w:rPr>
          <w:i/>
          <w:iCs/>
        </w:rPr>
        <w:t xml:space="preserve">CORRECTION</w:t>
      </w:r>
      <w:r>
        <w:t xml:space="preserve">.</w:t>
      </w:r>
    </w:p>
    <w:p>
      <w:pPr>
        <w:pStyle w:val="Compact"/>
        <w:numPr>
          <w:ilvl w:val="1"/>
          <w:numId w:val="1003"/>
        </w:numPr>
      </w:pPr>
      <w:r>
        <w:t xml:space="preserve">The new application property</w:t>
      </w:r>
      <w:r>
        <w:t xml:space="preserve"> </w:t>
      </w:r>
      <w:r>
        <w:rPr>
          <w:rStyle w:val="VerbatimChar"/>
        </w:rPr>
        <w:t xml:space="preserve">issue_time</w:t>
      </w:r>
      <w:r>
        <w:t xml:space="preserve"> </w:t>
      </w:r>
      <w:r>
        <w:t xml:space="preserve">replaces the previous</w:t>
      </w:r>
      <w:r>
        <w:t xml:space="preserve"> </w:t>
      </w:r>
      <w:r>
        <w:rPr>
          <w:rStyle w:val="VerbatimChar"/>
        </w:rPr>
        <w:t xml:space="preserve">properties.pubtime</w:t>
      </w:r>
      <w:r>
        <w:t xml:space="preserve">. The publication time in WIS 2.0 WNM is the creation time of the notification message, so using this terminology for METAR, TAF, or SIGMET issue time was incorrect. In AMQP, the direct equivalent of</w:t>
      </w:r>
      <w:r>
        <w:t xml:space="preserve"> </w:t>
      </w:r>
      <w:r>
        <w:rPr>
          <w:rStyle w:val="VerbatimChar"/>
        </w:rPr>
        <w:t xml:space="preserve">properties.pubtime</w:t>
      </w:r>
      <w:r>
        <w:t xml:space="preserve"> </w:t>
      </w:r>
      <w:r>
        <w:t xml:space="preserve">is the AMQP transport header property</w:t>
      </w:r>
      <w:r>
        <w:t xml:space="preserve"> </w:t>
      </w:r>
      <w:r>
        <w:rPr>
          <w:rStyle w:val="VerbatimChar"/>
        </w:rPr>
        <w:t xml:space="preserve">creation-time</w:t>
      </w:r>
      <w:r>
        <w:t xml:space="preserve">.</w:t>
      </w:r>
    </w:p>
    <w:p>
      <w:pPr>
        <w:pStyle w:val="Compact"/>
        <w:numPr>
          <w:ilvl w:val="1"/>
          <w:numId w:val="1003"/>
        </w:numPr>
      </w:pPr>
      <w:r>
        <w:t xml:space="preserve">Added AMQP transport header property</w:t>
      </w:r>
      <w:r>
        <w:t xml:space="preserve"> </w:t>
      </w:r>
      <w:r>
        <w:rPr>
          <w:rStyle w:val="VerbatimChar"/>
        </w:rPr>
        <w:t xml:space="preserve">creation-time</w:t>
      </w:r>
      <w:r>
        <w:t xml:space="preserve">.</w:t>
      </w:r>
    </w:p>
    <w:p>
      <w:pPr>
        <w:pStyle w:val="Compact"/>
        <w:numPr>
          <w:ilvl w:val="1"/>
          <w:numId w:val="1003"/>
        </w:numPr>
      </w:pPr>
      <w:r>
        <w:t xml:space="preserve">Rewritten section on</w:t>
      </w:r>
      <w:r>
        <w:t xml:space="preserve"> </w:t>
      </w:r>
      <w:r>
        <w:rPr>
          <w:rStyle w:val="VerbatimChar"/>
        </w:rPr>
        <w:t xml:space="preserve">absolute-expiry-time</w:t>
      </w:r>
      <w:r>
        <w:t xml:space="preserve">. The original idea of specifying expiration of 3h for METAR, 12h for TAF, 24h for SIGMET was incorrect.</w:t>
      </w:r>
    </w:p>
    <w:p>
      <w:pPr>
        <w:pStyle w:val="Compact"/>
        <w:numPr>
          <w:ilvl w:val="1"/>
          <w:numId w:val="1003"/>
        </w:numPr>
      </w:pPr>
      <w:r>
        <w:t xml:space="preserve">The guidance for the priority field in AMQP transport header just states that certain message types should have higher priorities than others. For example, a TAF AMD should have higher priority than a regular TAF.</w:t>
      </w:r>
    </w:p>
    <w:p>
      <w:pPr>
        <w:pStyle w:val="Compact"/>
        <w:numPr>
          <w:ilvl w:val="1"/>
          <w:numId w:val="1003"/>
        </w:numPr>
      </w:pPr>
      <w:r>
        <w:t xml:space="preserve">Added mention of</w:t>
      </w:r>
      <w:r>
        <w:t xml:space="preserve"> </w:t>
      </w:r>
      <w:r>
        <w:rPr>
          <w:i/>
          <w:iCs/>
        </w:rPr>
        <w:t xml:space="preserve">AMQP Messaging with Message Security</w:t>
      </w:r>
      <w:r>
        <w:t xml:space="preserve"> </w:t>
      </w:r>
      <w:r>
        <w:t xml:space="preserve">using S/MIME 4.0 as defined in SWIM TI Yellow Profile 2.0, but without further implementation guidance. This section needs to be fleshed out.</w:t>
      </w:r>
    </w:p>
    <w:tbl>
      <w:tblPr>
        <w:tblStyle w:val="Table"/>
        <w:tblW w:type="pct" w:w="5000"/>
        <w:tblLayout w:type="fixed"/>
        <w:tblLook w:firstRow="1" w:lastRow="0" w:firstColumn="0" w:lastColumn="0" w:noHBand="0" w:noVBand="0" w:val="0020"/>
      </w:tblPr>
      <w:tblGrid>
        <w:gridCol w:w="2970"/>
        <w:gridCol w:w="1980"/>
        <w:gridCol w:w="2970"/>
      </w:tblGrid>
      <w:tr>
        <w:trPr>
          <w:tblHeader w:val="on"/>
        </w:trPr>
        <w:tc>
          <w:tcPr/>
          <w:p>
            <w:pPr>
              <w:pStyle w:val="Compact"/>
            </w:pPr>
            <w:r>
              <w:t xml:space="preserve">Version</w:t>
            </w:r>
          </w:p>
        </w:tc>
        <w:tc>
          <w:tcPr/>
          <w:p>
            <w:pPr>
              <w:pStyle w:val="Compact"/>
            </w:pPr>
            <w:r>
              <w:t xml:space="preserve">Date</w:t>
            </w:r>
          </w:p>
        </w:tc>
        <w:tc>
          <w:tcPr/>
          <w:p>
            <w:pPr>
              <w:pStyle w:val="Compact"/>
            </w:pPr>
            <w:r>
              <w:t xml:space="preserve">Changes</w:t>
            </w:r>
          </w:p>
        </w:tc>
      </w:tr>
      <w:tr>
        <w:tc>
          <w:tcPr/>
          <w:p>
            <w:pPr>
              <w:pStyle w:val="Compact"/>
            </w:pPr>
            <w:r>
              <w:t xml:space="preserve">1.0-draft</w:t>
            </w:r>
          </w:p>
        </w:tc>
        <w:tc>
          <w:tcPr/>
          <w:p>
            <w:pPr>
              <w:pStyle w:val="Compact"/>
            </w:pPr>
            <w:r>
              <w:t xml:space="preserve">2025-06</w:t>
            </w:r>
          </w:p>
        </w:tc>
        <w:tc>
          <w:tcPr/>
          <w:p>
            <w:pPr>
              <w:pStyle w:val="Compact"/>
            </w:pPr>
            <w:r>
              <w:t xml:space="preserve">Initial draft.</w:t>
            </w:r>
          </w:p>
        </w:tc>
      </w:tr>
      <w:tr>
        <w:tc>
          <w:tcPr/>
          <w:p>
            <w:pPr>
              <w:pStyle w:val="Compact"/>
            </w:pPr>
            <w:r>
              <w:t xml:space="preserve">1.0-draft2</w:t>
            </w:r>
          </w:p>
        </w:tc>
        <w:tc>
          <w:tcPr/>
          <w:p>
            <w:pPr>
              <w:pStyle w:val="Compact"/>
            </w:pPr>
            <w:r>
              <w:t xml:space="preserve">2025-08</w:t>
            </w:r>
          </w:p>
        </w:tc>
        <w:tc>
          <w:tcPr/>
          <w:p>
            <w:pPr>
              <w:pStyle w:val="Compact"/>
            </w:pPr>
            <w:r>
              <w:t xml:space="preserve">Incorporated feedback, simplified, split into</w:t>
            </w:r>
            <w:r>
              <w:t xml:space="preserve"> </w:t>
            </w:r>
            <w:r>
              <w:t xml:space="preserve">“CP1”</w:t>
            </w:r>
            <w:r>
              <w:t xml:space="preserve"> </w:t>
            </w:r>
            <w:r>
              <w:t xml:space="preserve">and</w:t>
            </w:r>
            <w:r>
              <w:t xml:space="preserve"> </w:t>
            </w:r>
            <w:r>
              <w:t xml:space="preserve">“Next”</w:t>
            </w:r>
            <w:r>
              <w:t xml:space="preserve"> </w:t>
            </w:r>
            <w:r>
              <w:t xml:space="preserve">for properties beyond CP1.</w:t>
            </w:r>
          </w:p>
        </w:tc>
      </w:tr>
    </w:tbl>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organisations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5"/>
        </w:numPr>
      </w:pPr>
      <w:r>
        <w:t xml:space="preserve">Ensure interoperability between different MET-SWIM implementations</w:t>
      </w:r>
    </w:p>
    <w:p>
      <w:pPr>
        <w:pStyle w:val="Compact"/>
        <w:numPr>
          <w:ilvl w:val="0"/>
          <w:numId w:val="1005"/>
        </w:numPr>
      </w:pPr>
      <w:r>
        <w:t xml:space="preserve">Standardise AMQP message properties for meteorological data exchange</w:t>
      </w:r>
    </w:p>
    <w:p>
      <w:pPr>
        <w:pStyle w:val="Compact"/>
        <w:numPr>
          <w:ilvl w:val="0"/>
          <w:numId w:val="1005"/>
        </w:numPr>
      </w:pPr>
      <w:r>
        <w:t xml:space="preserve">Enable efficient filtering of messages</w:t>
      </w:r>
    </w:p>
    <w:p>
      <w:pPr>
        <w:pStyle w:val="Compact"/>
        <w:numPr>
          <w:ilvl w:val="0"/>
          <w:numId w:val="1005"/>
        </w:numPr>
      </w:pPr>
      <w:r>
        <w:t xml:space="preserve">Enable routing of messages to downstream systems based on typical information like report type or aerodrome/FIR code.</w:t>
      </w:r>
    </w:p>
    <w:p>
      <w:pPr>
        <w:pStyle w:val="Compact"/>
        <w:numPr>
          <w:ilvl w:val="0"/>
          <w:numId w:val="1005"/>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6"/>
        </w:numPr>
      </w:pPr>
      <w:r>
        <w:t xml:space="preserve">METAR</w:t>
      </w:r>
    </w:p>
    <w:p>
      <w:pPr>
        <w:pStyle w:val="Compact"/>
        <w:numPr>
          <w:ilvl w:val="0"/>
          <w:numId w:val="1006"/>
        </w:numPr>
      </w:pPr>
      <w:r>
        <w:t xml:space="preserve">SPECI</w:t>
      </w:r>
    </w:p>
    <w:p>
      <w:pPr>
        <w:pStyle w:val="Compact"/>
        <w:numPr>
          <w:ilvl w:val="0"/>
          <w:numId w:val="1006"/>
        </w:numPr>
      </w:pPr>
      <w:r>
        <w:t xml:space="preserve">TAF</w:t>
      </w:r>
    </w:p>
    <w:p>
      <w:pPr>
        <w:pStyle w:val="Compact"/>
        <w:numPr>
          <w:ilvl w:val="0"/>
          <w:numId w:val="1006"/>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which is used, for example, by the UK Met Office’s QVA API (Quantitative Volcanic Ash) and is planned to be used by the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7"/>
        </w:numPr>
      </w:pPr>
      <w:r>
        <w:t xml:space="preserve">Boris Burger (IBL)</w:t>
      </w:r>
    </w:p>
    <w:p>
      <w:pPr>
        <w:pStyle w:val="Compact"/>
        <w:numPr>
          <w:ilvl w:val="1"/>
          <w:numId w:val="1008"/>
        </w:numPr>
      </w:pPr>
      <w:r>
        <w:t xml:space="preserve">Further alignment with AMQP, WNM, and incorporating feedback.</w:t>
      </w:r>
    </w:p>
    <w:p>
      <w:pPr>
        <w:pStyle w:val="Compact"/>
        <w:numPr>
          <w:ilvl w:val="1"/>
          <w:numId w:val="1008"/>
        </w:numPr>
      </w:pPr>
      <w:r>
        <w:t xml:space="preserve">Relationship of AMQP properties to IWXXM data model.</w:t>
      </w:r>
    </w:p>
    <w:p>
      <w:pPr>
        <w:pStyle w:val="FirstParagraph"/>
      </w:pPr>
      <w:r>
        <w:t xml:space="preserve">Contributions and feedback:</w:t>
      </w:r>
    </w:p>
    <w:p>
      <w:pPr>
        <w:pStyle w:val="Compact"/>
        <w:numPr>
          <w:ilvl w:val="0"/>
          <w:numId w:val="1009"/>
        </w:numPr>
      </w:pPr>
      <w:r>
        <w:t xml:space="preserve">Michal Weis (IBL)</w:t>
      </w:r>
    </w:p>
    <w:p>
      <w:pPr>
        <w:pStyle w:val="Compact"/>
        <w:numPr>
          <w:ilvl w:val="0"/>
          <w:numId w:val="1009"/>
        </w:numPr>
      </w:pPr>
      <w:r>
        <w:t xml:space="preserve">Dario di Crescenzo (EUROCONTROL)</w:t>
      </w:r>
    </w:p>
    <w:p>
      <w:pPr>
        <w:pStyle w:val="Compact"/>
        <w:numPr>
          <w:ilvl w:val="0"/>
          <w:numId w:val="1009"/>
        </w:numPr>
      </w:pPr>
      <w:r>
        <w:t xml:space="preserve">Michael Pichler (Austro Control)</w:t>
      </w:r>
    </w:p>
    <w:p>
      <w:pPr>
        <w:pStyle w:val="Compact"/>
        <w:numPr>
          <w:ilvl w:val="0"/>
          <w:numId w:val="1009"/>
        </w:numPr>
      </w:pPr>
      <w:r>
        <w:t xml:space="preserve">Tiaan Wessels (Netsys)</w:t>
      </w:r>
    </w:p>
    <w:p>
      <w:pPr>
        <w:pStyle w:val="Compact"/>
        <w:numPr>
          <w:ilvl w:val="0"/>
          <w:numId w:val="1009"/>
        </w:numPr>
      </w:pPr>
      <w:r>
        <w:t xml:space="preserve">Jürgen Schulze (met.no)</w:t>
      </w:r>
    </w:p>
    <w:p>
      <w:pPr>
        <w:pStyle w:val="Compact"/>
        <w:numPr>
          <w:ilvl w:val="0"/>
          <w:numId w:val="1009"/>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10"/>
        </w:numPr>
      </w:pPr>
      <w:hyperlink r:id="rId19">
        <w:r>
          <w:rPr>
            <w:rStyle w:val="Hyperlink"/>
          </w:rPr>
          <w:t xml:space="preserve">EU Common Project Regulation (CP1)</w:t>
        </w:r>
      </w:hyperlink>
    </w:p>
    <w:p>
      <w:pPr>
        <w:pStyle w:val="Compact"/>
        <w:numPr>
          <w:ilvl w:val="0"/>
          <w:numId w:val="1010"/>
        </w:numPr>
      </w:pPr>
      <w:hyperlink r:id="rId20">
        <w:r>
          <w:rPr>
            <w:rStyle w:val="Hyperlink"/>
          </w:rPr>
          <w:t xml:space="preserve">IWXXM METAR-SPECI Subscription and Request Service 1.0</w:t>
        </w:r>
      </w:hyperlink>
    </w:p>
    <w:p>
      <w:pPr>
        <w:pStyle w:val="Compact"/>
        <w:numPr>
          <w:ilvl w:val="0"/>
          <w:numId w:val="1010"/>
        </w:numPr>
      </w:pPr>
      <w:hyperlink r:id="rId21">
        <w:r>
          <w:rPr>
            <w:rStyle w:val="Hyperlink"/>
          </w:rPr>
          <w:t xml:space="preserve">IWXXM SIGMET Subscription and Request Service 1.0</w:t>
        </w:r>
      </w:hyperlink>
    </w:p>
    <w:p>
      <w:pPr>
        <w:pStyle w:val="Compact"/>
        <w:numPr>
          <w:ilvl w:val="0"/>
          <w:numId w:val="1010"/>
        </w:numPr>
      </w:pPr>
      <w:hyperlink r:id="rId22">
        <w:r>
          <w:rPr>
            <w:rStyle w:val="Hyperlink"/>
          </w:rPr>
          <w:t xml:space="preserve">IWXXM TAF Subscription and Request Service 1.0</w:t>
        </w:r>
      </w:hyperlink>
    </w:p>
    <w:p>
      <w:pPr>
        <w:pStyle w:val="Compact"/>
        <w:numPr>
          <w:ilvl w:val="0"/>
          <w:numId w:val="1010"/>
        </w:numPr>
      </w:pPr>
      <w:hyperlink r:id="rId23">
        <w:r>
          <w:rPr>
            <w:rStyle w:val="Hyperlink"/>
          </w:rPr>
          <w:t xml:space="preserve">OASIS AMQP 1.0 Specification, Part 3: Messaging</w:t>
        </w:r>
      </w:hyperlink>
    </w:p>
    <w:p>
      <w:pPr>
        <w:pStyle w:val="Compact"/>
        <w:numPr>
          <w:ilvl w:val="0"/>
          <w:numId w:val="1010"/>
        </w:numPr>
      </w:pPr>
      <w:hyperlink r:id="rId24">
        <w:r>
          <w:rPr>
            <w:rStyle w:val="Hyperlink"/>
          </w:rPr>
          <w:t xml:space="preserve">OGC API - Environmental Data Retrieval (EDR)</w:t>
        </w:r>
      </w:hyperlink>
    </w:p>
    <w:p>
      <w:pPr>
        <w:pStyle w:val="Compact"/>
        <w:numPr>
          <w:ilvl w:val="0"/>
          <w:numId w:val="1010"/>
        </w:numPr>
      </w:pPr>
      <w:hyperlink r:id="rId15">
        <w:r>
          <w:rPr>
            <w:rStyle w:val="Hyperlink"/>
          </w:rPr>
          <w:t xml:space="preserve">OGC API - Environmental Data Retrieval (EDR) Part 2: Publish-Subscribe workflow</w:t>
        </w:r>
      </w:hyperlink>
    </w:p>
    <w:p>
      <w:pPr>
        <w:pStyle w:val="Compact"/>
        <w:numPr>
          <w:ilvl w:val="0"/>
          <w:numId w:val="1010"/>
        </w:numPr>
      </w:pPr>
      <w:hyperlink r:id="rId25">
        <w:r>
          <w:rPr>
            <w:rStyle w:val="Hyperlink"/>
          </w:rPr>
          <w:t xml:space="preserve">AMQP Filter Expressions 1.0</w:t>
        </w:r>
      </w:hyperlink>
    </w:p>
    <w:p>
      <w:pPr>
        <w:pStyle w:val="Compact"/>
        <w:numPr>
          <w:ilvl w:val="0"/>
          <w:numId w:val="1010"/>
        </w:numPr>
      </w:pPr>
      <w:hyperlink r:id="rId26">
        <w:r>
          <w:rPr>
            <w:rStyle w:val="Hyperlink"/>
          </w:rPr>
          <w:t xml:space="preserve">WMO WIS 2.0 Overview</w:t>
        </w:r>
      </w:hyperlink>
    </w:p>
    <w:p>
      <w:pPr>
        <w:pStyle w:val="Compact"/>
        <w:numPr>
          <w:ilvl w:val="0"/>
          <w:numId w:val="1010"/>
        </w:numPr>
      </w:pPr>
      <w:hyperlink r:id="rId14">
        <w:r>
          <w:rPr>
            <w:rStyle w:val="Hyperlink"/>
          </w:rPr>
          <w:t xml:space="preserve">WMO WIS 2.0 Notification Message Standard</w:t>
        </w:r>
      </w:hyperlink>
    </w:p>
    <w:p>
      <w:pPr>
        <w:pStyle w:val="Compact"/>
        <w:numPr>
          <w:ilvl w:val="0"/>
          <w:numId w:val="1010"/>
        </w:numPr>
      </w:pPr>
      <w:hyperlink r:id="rId27">
        <w:r>
          <w:rPr>
            <w:rStyle w:val="Hyperlink"/>
          </w:rPr>
          <w:t xml:space="preserve">RFC 3339 - Date and Time on the Internet</w:t>
        </w:r>
      </w:hyperlink>
    </w:p>
    <w:p>
      <w:pPr>
        <w:pStyle w:val="Compact"/>
        <w:numPr>
          <w:ilvl w:val="0"/>
          <w:numId w:val="1010"/>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the MET-SWIM context consists of the following components:</w:t>
      </w:r>
    </w:p>
    <w:p>
      <w:pPr>
        <w:pStyle w:val="Compact"/>
        <w:numPr>
          <w:ilvl w:val="0"/>
          <w:numId w:val="1011"/>
        </w:numPr>
      </w:pPr>
      <w:r>
        <w:rPr>
          <w:b/>
          <w:bCs/>
        </w:rPr>
        <w:t xml:space="preserve">Message Addressing</w:t>
      </w:r>
      <w:r>
        <w:t xml:space="preserve"> </w:t>
      </w:r>
      <w:r>
        <w:t xml:space="preserve">- Destination address using a hierarchical structure</w:t>
      </w:r>
    </w:p>
    <w:p>
      <w:pPr>
        <w:pStyle w:val="Compact"/>
        <w:numPr>
          <w:ilvl w:val="0"/>
          <w:numId w:val="1011"/>
        </w:numPr>
      </w:pPr>
      <w:r>
        <w:rPr>
          <w:b/>
          <w:bCs/>
        </w:rPr>
        <w:t xml:space="preserve">Message Transport Header</w:t>
      </w:r>
      <w:r>
        <w:t xml:space="preserve"> </w:t>
      </w:r>
      <w:r>
        <w:t xml:space="preserve">- Priority settings, expiration.</w:t>
      </w:r>
    </w:p>
    <w:p>
      <w:pPr>
        <w:pStyle w:val="Compact"/>
        <w:numPr>
          <w:ilvl w:val="0"/>
          <w:numId w:val="1011"/>
        </w:numPr>
      </w:pPr>
      <w:r>
        <w:rPr>
          <w:b/>
          <w:bCs/>
        </w:rPr>
        <w:t xml:space="preserve">Message Properties</w:t>
      </w:r>
      <w:r>
        <w:t xml:space="preserve"> </w:t>
      </w:r>
      <w:r>
        <w:t xml:space="preserve">- Standard AMQP properties including subject, content-type, etc.</w:t>
      </w:r>
    </w:p>
    <w:p>
      <w:pPr>
        <w:pStyle w:val="Compact"/>
        <w:numPr>
          <w:ilvl w:val="0"/>
          <w:numId w:val="1011"/>
        </w:numPr>
      </w:pPr>
      <w:r>
        <w:rPr>
          <w:b/>
          <w:bCs/>
        </w:rPr>
        <w:t xml:space="preserve">Application Properties</w:t>
      </w:r>
      <w:r>
        <w:t xml:space="preserve"> </w:t>
      </w:r>
      <w:r>
        <w:t xml:space="preserve">- Custom properties for meteorological data identification and filtering</w:t>
      </w:r>
    </w:p>
    <w:p>
      <w:pPr>
        <w:pStyle w:val="Compact"/>
        <w:numPr>
          <w:ilvl w:val="0"/>
          <w:numId w:val="1011"/>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2"/>
        </w:numPr>
      </w:pPr>
      <w:r>
        <w:rPr>
          <w:rStyle w:val="VerbatimChar"/>
        </w:rPr>
        <w:t xml:space="preserve">metar</w:t>
      </w:r>
      <w:r>
        <w:t xml:space="preserve"> </w:t>
      </w:r>
      <w:r>
        <w:t xml:space="preserve">- for METAR and SPECI reports</w:t>
      </w:r>
    </w:p>
    <w:p>
      <w:pPr>
        <w:pStyle w:val="Compact"/>
        <w:numPr>
          <w:ilvl w:val="0"/>
          <w:numId w:val="1012"/>
        </w:numPr>
      </w:pPr>
      <w:r>
        <w:rPr>
          <w:rStyle w:val="VerbatimChar"/>
        </w:rPr>
        <w:t xml:space="preserve">taf</w:t>
      </w:r>
      <w:r>
        <w:t xml:space="preserve"> </w:t>
      </w:r>
      <w:r>
        <w:t xml:space="preserve">- for TAF reports</w:t>
      </w:r>
    </w:p>
    <w:p>
      <w:pPr>
        <w:pStyle w:val="Compact"/>
        <w:numPr>
          <w:ilvl w:val="0"/>
          <w:numId w:val="1012"/>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generally guaranteed.</w:t>
      </w:r>
    </w:p>
    <w:p>
      <w:pPr>
        <w:pStyle w:val="BodyText"/>
      </w:pPr>
      <w:r>
        <w:rPr>
          <w:b/>
          <w:bCs/>
        </w:rPr>
        <w:t xml:space="preserve">Common Wildcard Characters:</w:t>
      </w:r>
    </w:p>
    <w:p>
      <w:pPr>
        <w:pStyle w:val="Compact"/>
        <w:numPr>
          <w:ilvl w:val="0"/>
          <w:numId w:val="1013"/>
        </w:numPr>
      </w:pPr>
      <w:r>
        <w:rPr>
          <w:rStyle w:val="VerbatimChar"/>
        </w:rPr>
        <w:t xml:space="preserve">*</w:t>
      </w:r>
      <w:r>
        <w:t xml:space="preserve"> </w:t>
      </w:r>
      <w:r>
        <w:t xml:space="preserve">- matches exactly one level in the hierarchy</w:t>
      </w:r>
    </w:p>
    <w:p>
      <w:pPr>
        <w:pStyle w:val="Compact"/>
        <w:numPr>
          <w:ilvl w:val="0"/>
          <w:numId w:val="1013"/>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4"/>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4"/>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5"/>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6"/>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6"/>
        </w:numPr>
      </w:pPr>
      <w:r>
        <w:t xml:space="preserve">RabbitMQ supports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7"/>
        </w:numPr>
      </w:pPr>
      <w:r>
        <w:t xml:space="preserve">SPECI should have higher priority than METAR</w:t>
      </w:r>
    </w:p>
    <w:p>
      <w:pPr>
        <w:pStyle w:val="Compact"/>
        <w:numPr>
          <w:ilvl w:val="0"/>
          <w:numId w:val="1017"/>
        </w:numPr>
      </w:pPr>
      <w:r>
        <w:t xml:space="preserve">TAF amendments should have higher priority than TAF</w:t>
      </w:r>
    </w:p>
    <w:p>
      <w:pPr>
        <w:pStyle w:val="Compact"/>
        <w:numPr>
          <w:ilvl w:val="0"/>
          <w:numId w:val="1017"/>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4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8"/>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8"/>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disambiguating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created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9"/>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9"/>
        </w:numPr>
      </w:pPr>
      <w:r>
        <w:rPr>
          <w:rStyle w:val="VerbatimChar"/>
        </w:rPr>
        <w:t xml:space="preserve">identity</w:t>
      </w:r>
      <w:r>
        <w:t xml:space="preserve"> </w:t>
      </w:r>
      <w:r>
        <w:t xml:space="preserve">- for uncompressed data (default if omitted).</w:t>
      </w:r>
    </w:p>
    <w:bookmarkEnd w:id="46"/>
    <w:bookmarkStart w:id="47" w:name="absolute-expiry-time-optional"/>
    <w:p>
      <w:pPr>
        <w:pStyle w:val="Heading2"/>
      </w:pPr>
      <w:r>
        <w:rPr>
          <w:rStyle w:val="SectionNumber"/>
        </w:rPr>
        <w:t xml:space="preserve">7.4</w:t>
      </w:r>
      <w:r>
        <w:tab/>
      </w:r>
      <w:r>
        <w:t xml:space="preserve">absolute-expiry-time (OPTIONAL)</w:t>
      </w:r>
    </w:p>
    <w:p>
      <w:pPr>
        <w:pStyle w:val="FirstParagraph"/>
      </w:pPr>
      <w:r>
        <w:t xml:space="preserve">Unix timestamp indicating when the message should expire in the broker and from the durable queues.</w:t>
      </w:r>
    </w:p>
    <w:p>
      <w:pPr>
        <w:pStyle w:val="BodyText"/>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the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 expiry time</w:t>
      </w:r>
      <w:r>
        <w:t xml:space="preserve"> </w:t>
      </w:r>
      <w:r>
        <w:t xml:space="preserve">is not set, the message will</w:t>
      </w:r>
      <w:r>
        <w:t xml:space="preserve"> </w:t>
      </w:r>
      <w:r>
        <w:t xml:space="preserve">“live”</w:t>
      </w:r>
      <w:r>
        <w:t xml:space="preserve"> </w:t>
      </w:r>
      <w:r>
        <w:t xml:space="preserve">in durable queues until a client receives it. Brokers usually have some pre-configured threshold of maximum</w:t>
      </w:r>
      <w:r>
        <w:t xml:space="preserve"> </w:t>
      </w:r>
      <w:r>
        <w:rPr>
          <w:rStyle w:val="VerbatimChar"/>
        </w:rPr>
        <w:t xml:space="preserve">ttl</w:t>
      </w:r>
      <w:r>
        <w:t xml:space="preserve"> </w:t>
      </w:r>
      <w:r>
        <w:t xml:space="preserve">to avoid resource exhaustion if clients do not pick up messages from durable queues.</w:t>
      </w:r>
    </w:p>
    <w:p>
      <w:pPr>
        <w:pStyle w:val="BodyText"/>
      </w:pPr>
      <w:r>
        <w:t xml:space="preserve">If a MET-SWIM AMQP implementation sets the absolute-expiry-time, it SHOULD set it high enough to:</w:t>
      </w:r>
    </w:p>
    <w:p>
      <w:pPr>
        <w:pStyle w:val="Compact"/>
        <w:numPr>
          <w:ilvl w:val="0"/>
          <w:numId w:val="1020"/>
        </w:numPr>
      </w:pPr>
      <w:r>
        <w:t xml:space="preserve">Give the clients a chance to receive the messages during shorter communication outages or client maintenance periods.</w:t>
      </w:r>
    </w:p>
    <w:p>
      <w:pPr>
        <w:pStyle w:val="Compact"/>
        <w:numPr>
          <w:ilvl w:val="0"/>
          <w:numId w:val="1020"/>
        </w:numPr>
      </w:pPr>
      <w:r>
        <w:t xml:space="preserve">Keep the messages long enough to survive the AMQP server maintenance windows or outages.</w:t>
      </w:r>
    </w:p>
    <w:p>
      <w:pPr>
        <w:pStyle w:val="FirstParagraph"/>
      </w:pPr>
      <w:r>
        <w:t xml:space="preserve">Example: AMQP message creation + 12 hours</w:t>
      </w:r>
    </w:p>
    <w:p>
      <w:pPr>
        <w:pStyle w:val="BodyText"/>
      </w:pPr>
      <w:r>
        <w:t xml:space="preserve">Note: Originally, it was proposed to set the absolute-expiry-time depending on the report type, e.g. 3h for METAR, 12h for TAF, 24h for SIGMET. However, in general, there can be varying purposes for why the client needs to be subscribed to the data:</w:t>
      </w:r>
    </w:p>
    <w:p>
      <w:pPr>
        <w:pStyle w:val="Compact"/>
        <w:numPr>
          <w:ilvl w:val="0"/>
          <w:numId w:val="1021"/>
        </w:numPr>
      </w:pPr>
      <w:r>
        <w:t xml:space="preserve">One client might be interested only in the latest operationally useful data.</w:t>
      </w:r>
    </w:p>
    <w:p>
      <w:pPr>
        <w:pStyle w:val="Compact"/>
        <w:numPr>
          <w:ilvl w:val="0"/>
          <w:numId w:val="1021"/>
        </w:numPr>
      </w:pPr>
      <w:r>
        <w:t xml:space="preserve">Another client might be a climatological database that needs all the reports regardless of age. In this case loosing observations due to a 3h communication outage does not seem reasonable.</w:t>
      </w:r>
    </w:p>
    <w:bookmarkEnd w:id="47"/>
    <w:bookmarkStart w:id="48" w:name="creation-time-optional"/>
    <w:p>
      <w:pPr>
        <w:pStyle w:val="Heading2"/>
      </w:pPr>
      <w:r>
        <w:rPr>
          <w:rStyle w:val="SectionNumber"/>
        </w:rPr>
        <w:t xml:space="preserve">7.5</w:t>
      </w:r>
      <w:r>
        <w:tab/>
      </w:r>
      <w:r>
        <w:t xml:space="preserve">creation-time (OPTIONAL)</w:t>
      </w:r>
    </w:p>
    <w:p>
      <w:pPr>
        <w:pStyle w:val="FirstParagraph"/>
      </w:pPr>
      <w:r>
        <w:t xml:space="preserve">This is the Unix timestamp indicating when the AMQP message was initially created. It mostly serves an informational purpose in AMQP and is used in the</w:t>
      </w:r>
      <w:r>
        <w:t xml:space="preserve"> </w:t>
      </w:r>
      <w:r>
        <w:rPr>
          <w:rStyle w:val="VerbatimChar"/>
        </w:rPr>
        <w:t xml:space="preserve">ttl</w:t>
      </w:r>
      <w:r>
        <w:t xml:space="preserve"> </w:t>
      </w:r>
      <w:r>
        <w:t xml:space="preserve">calculation in some brokers.</w:t>
      </w:r>
    </w:p>
    <w:bookmarkEnd w:id="48"/>
    <w:bookmarkEnd w:id="49"/>
    <w:bookmarkStart w:id="71" w:name="amqp-application-properties"/>
    <w:p>
      <w:pPr>
        <w:pStyle w:val="Heading1"/>
      </w:pPr>
      <w:r>
        <w:rPr>
          <w:rStyle w:val="SectionNumber"/>
        </w:rPr>
        <w:t xml:space="preserve">8</w:t>
      </w:r>
      <w:r>
        <w:tab/>
      </w:r>
      <w:r>
        <w:t xml:space="preserve">AMQP Application Properties</w:t>
      </w:r>
    </w:p>
    <w:p>
      <w:pPr>
        <w:pStyle w:val="FirstParagraph"/>
      </w:pPr>
      <w:r>
        <w:t xml:space="preserve">The application properties are the most flexible mechanism for identifying the data sent using AMQP and enabling server-side filtering using</w:t>
      </w:r>
      <w:r>
        <w:t xml:space="preserve"> </w:t>
      </w:r>
      <w:hyperlink r:id="rId25">
        <w:r>
          <w:rPr>
            <w:rStyle w:val="Hyperlink"/>
          </w:rPr>
          <w:t xml:space="preserve">AMQP Filter Expressions 1.0</w:t>
        </w:r>
      </w:hyperlink>
      <w:r>
        <w:t xml:space="preserve">. The AMQP specification does not regulate</w:t>
      </w:r>
      <w:r>
        <w:t xml:space="preserve"> </w:t>
      </w:r>
      <w:hyperlink r:id="rId50">
        <w:r>
          <w:rPr>
            <w:rStyle w:val="Hyperlink"/>
          </w:rPr>
          <w:t xml:space="preserve">AMQP application property</w:t>
        </w:r>
      </w:hyperlink>
      <w:r>
        <w:t xml:space="preserve"> </w:t>
      </w:r>
      <w:r>
        <w:t xml:space="preserve">names and meanings. They are custom-defined by individual services that use AMQP as their notification layer.</w:t>
      </w:r>
    </w:p>
    <w:p>
      <w:pPr>
        <w:pStyle w:val="BodyText"/>
      </w:pPr>
      <w:r>
        <w:t xml:space="preserve">Properties in the sections below are divided into categories based on their usage requirements:</w:t>
      </w:r>
    </w:p>
    <w:p>
      <w:pPr>
        <w:pStyle w:val="Compact"/>
        <w:numPr>
          <w:ilvl w:val="0"/>
          <w:numId w:val="1022"/>
        </w:numPr>
      </w:pPr>
      <w:r>
        <w:rPr>
          <w:i/>
          <w:iCs/>
        </w:rPr>
        <w:t xml:space="preserve">mandatory</w:t>
      </w:r>
      <w:r>
        <w:t xml:space="preserve">: need to be present at all times,</w:t>
      </w:r>
    </w:p>
    <w:p>
      <w:pPr>
        <w:pStyle w:val="Compact"/>
        <w:numPr>
          <w:ilvl w:val="0"/>
          <w:numId w:val="1022"/>
        </w:numPr>
      </w:pPr>
      <w:r>
        <w:rPr>
          <w:i/>
          <w:iCs/>
        </w:rPr>
        <w:t xml:space="preserve">conditional</w:t>
      </w:r>
      <w:r>
        <w:t xml:space="preserve">: are mandatory under stated conditions,</w:t>
      </w:r>
    </w:p>
    <w:p>
      <w:pPr>
        <w:pStyle w:val="Compact"/>
        <w:numPr>
          <w:ilvl w:val="0"/>
          <w:numId w:val="1022"/>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3"/>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1">
        <w:r>
          <w:rPr>
            <w:rStyle w:val="Hyperlink"/>
          </w:rPr>
          <w:t xml:space="preserve">RFC 7946</w:t>
        </w:r>
      </w:hyperlink>
      <w:r>
        <w:t xml:space="preserve">).</w:t>
      </w:r>
    </w:p>
    <w:p>
      <w:pPr>
        <w:pStyle w:val="Compact"/>
        <w:numPr>
          <w:ilvl w:val="0"/>
          <w:numId w:val="1023"/>
        </w:numPr>
      </w:pPr>
      <w:r>
        <w:t xml:space="preserve">The GeoJSON specification requires that all custom properties be stored in a</w:t>
      </w:r>
      <w:r>
        <w:t xml:space="preserve"> </w:t>
      </w:r>
      <w:r>
        <w:rPr>
          <w:rStyle w:val="VerbatimChar"/>
        </w:rPr>
        <w:t xml:space="preserve">properties</w:t>
      </w:r>
      <w:r>
        <w:t xml:space="preserve"> </w:t>
      </w:r>
      <w:r>
        <w:t xml:space="preserve">sub-object rather than in the top-level object reserved for feature type declaration and geometry.</w:t>
      </w:r>
    </w:p>
    <w:p>
      <w:pPr>
        <w:pStyle w:val="Compact"/>
        <w:numPr>
          <w:ilvl w:val="0"/>
          <w:numId w:val="1023"/>
        </w:numPr>
      </w:pPr>
      <w:r>
        <w:t xml:space="preserve">In AMQP, this is unnecessary because the direct equivalent of the GeoJSON custom properties are the AMQP application properties, so there is no need to use any prefix.</w:t>
      </w:r>
    </w:p>
    <w:p>
      <w:pPr>
        <w:pStyle w:val="Compact"/>
        <w:numPr>
          <w:ilvl w:val="0"/>
          <w:numId w:val="1023"/>
        </w:numPr>
      </w:pPr>
      <w:r>
        <w:t xml:space="preserve">See also the</w:t>
      </w:r>
      <w:r>
        <w:t xml:space="preserve"> </w:t>
      </w:r>
      <w:hyperlink r:id="rId52">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3"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3"/>
    <w:bookmarkStart w:id="61"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4"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4"/>
        </w:numPr>
      </w:pPr>
      <w:r>
        <w:rPr>
          <w:rStyle w:val="VerbatimChar"/>
        </w:rPr>
        <w:t xml:space="preserve">NORMAL</w:t>
      </w:r>
      <w:r>
        <w:t xml:space="preserve"> </w:t>
      </w:r>
      <w:r>
        <w:t xml:space="preserve">- Regular report</w:t>
      </w:r>
    </w:p>
    <w:p>
      <w:pPr>
        <w:pStyle w:val="Compact"/>
        <w:numPr>
          <w:ilvl w:val="0"/>
          <w:numId w:val="1024"/>
        </w:numPr>
      </w:pPr>
      <w:r>
        <w:rPr>
          <w:rStyle w:val="VerbatimChar"/>
        </w:rPr>
        <w:t xml:space="preserve">AMENDMENT</w:t>
      </w:r>
      <w:r>
        <w:t xml:space="preserve"> </w:t>
      </w:r>
      <w:r>
        <w:t xml:space="preserve">- Amendment of a previous report</w:t>
      </w:r>
    </w:p>
    <w:p>
      <w:pPr>
        <w:pStyle w:val="Compact"/>
        <w:numPr>
          <w:ilvl w:val="0"/>
          <w:numId w:val="1024"/>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4"/>
    <w:bookmarkStart w:id="55"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a 4-letter ICAO location designator can identify.</w:t>
      </w:r>
    </w:p>
    <w:p>
      <w:pPr>
        <w:pStyle w:val="SourceCode"/>
      </w:pPr>
      <w:r>
        <w:rPr>
          <w:rStyle w:val="VerbatimChar"/>
        </w:rPr>
        <w:t xml:space="preserve">icao_location_identifier: "EBBR"</w:t>
      </w:r>
    </w:p>
    <w:bookmarkEnd w:id="55"/>
    <w:bookmarkStart w:id="59" w:name="icao_location_type-mandatory"/>
    <w:p>
      <w:pPr>
        <w:pStyle w:val="Heading3"/>
      </w:pPr>
      <w:r>
        <w:rPr>
          <w:rStyle w:val="SectionNumber"/>
        </w:rPr>
        <w:t xml:space="preserve">8.2.3</w:t>
      </w:r>
      <w:r>
        <w:tab/>
      </w:r>
      <w:r>
        <w:t xml:space="preserve">icao_location_type (mandatory)</w:t>
      </w:r>
    </w:p>
    <w:p>
      <w:pPr>
        <w:pStyle w:val="FirstParagraph"/>
      </w:pPr>
      <w:r>
        <w:t xml:space="preserve">Type of location identifier. Mandatory if</w:t>
      </w:r>
      <w:r>
        <w:t xml:space="preserve"> </w:t>
      </w:r>
      <w:r>
        <w:rPr>
          <w:rStyle w:val="VerbatimChar"/>
        </w:rPr>
        <w:t xml:space="preserve">icao_location_identifier</w:t>
      </w:r>
      <w:r>
        <w:t xml:space="preserve"> </w:t>
      </w:r>
      <w:r>
        <w:t xml:space="preserve">was provided.</w:t>
      </w:r>
    </w:p>
    <w:p>
      <w:pPr>
        <w:pStyle w:val="Compact"/>
        <w:numPr>
          <w:ilvl w:val="0"/>
          <w:numId w:val="1025"/>
        </w:numPr>
      </w:pPr>
      <w:r>
        <w:rPr>
          <w:rStyle w:val="VerbatimChar"/>
        </w:rPr>
        <w:t xml:space="preserve">AD</w:t>
      </w:r>
      <w:r>
        <w:t xml:space="preserve"> </w:t>
      </w:r>
      <w:r>
        <w:t xml:space="preserve">- Aerodrome (for METAR/TAF)</w:t>
      </w:r>
    </w:p>
    <w:p>
      <w:pPr>
        <w:pStyle w:val="Compact"/>
        <w:numPr>
          <w:ilvl w:val="1"/>
          <w:numId w:val="1026"/>
        </w:numPr>
      </w:pPr>
      <w:r>
        <w:t xml:space="preserve">From AIXM</w:t>
      </w:r>
      <w:r>
        <w:t xml:space="preserve"> </w:t>
      </w:r>
      <w:hyperlink r:id="rId56">
        <w:r>
          <w:rPr>
            <w:rStyle w:val="Hyperlink"/>
          </w:rPr>
          <w:t xml:space="preserve">AirportHeliportType</w:t>
        </w:r>
      </w:hyperlink>
    </w:p>
    <w:p>
      <w:pPr>
        <w:pStyle w:val="Compact"/>
        <w:numPr>
          <w:ilvl w:val="0"/>
          <w:numId w:val="1025"/>
        </w:numPr>
      </w:pPr>
      <w:r>
        <w:rPr>
          <w:rStyle w:val="VerbatimChar"/>
        </w:rPr>
        <w:t xml:space="preserve">FIR</w:t>
      </w:r>
      <w:r>
        <w:t xml:space="preserve"> </w:t>
      </w:r>
      <w:r>
        <w:t xml:space="preserve">- Flight Information Region (for SIGMET)</w:t>
      </w:r>
    </w:p>
    <w:p>
      <w:pPr>
        <w:pStyle w:val="Compact"/>
        <w:numPr>
          <w:ilvl w:val="1"/>
          <w:numId w:val="1027"/>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UIR</w:t>
      </w:r>
      <w:r>
        <w:t xml:space="preserve"> </w:t>
      </w:r>
      <w:r>
        <w:t xml:space="preserve">- Upper Information Region</w:t>
      </w:r>
    </w:p>
    <w:p>
      <w:pPr>
        <w:pStyle w:val="Compact"/>
        <w:numPr>
          <w:ilvl w:val="1"/>
          <w:numId w:val="1028"/>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CTA</w:t>
      </w:r>
      <w:r>
        <w:t xml:space="preserve"> </w:t>
      </w:r>
      <w:r>
        <w:t xml:space="preserve">- Control Area</w:t>
      </w:r>
    </w:p>
    <w:p>
      <w:pPr>
        <w:pStyle w:val="Compact"/>
        <w:numPr>
          <w:ilvl w:val="1"/>
          <w:numId w:val="1029"/>
        </w:numPr>
      </w:pPr>
      <w:r>
        <w:t xml:space="preserve">From AIXM</w:t>
      </w:r>
      <w:r>
        <w:t xml:space="preserve"> </w:t>
      </w:r>
      <w:hyperlink r:id="rId57">
        <w:r>
          <w:rPr>
            <w:rStyle w:val="Hyperlink"/>
          </w:rPr>
          <w:t xml:space="preserve">AirspaceType</w:t>
        </w:r>
      </w:hyperlink>
    </w:p>
    <w:p>
      <w:pPr>
        <w:pStyle w:val="Compact"/>
        <w:numPr>
          <w:ilvl w:val="0"/>
          <w:numId w:val="1025"/>
        </w:numPr>
      </w:pPr>
      <w:r>
        <w:rPr>
          <w:rStyle w:val="VerbatimChar"/>
        </w:rPr>
        <w:t xml:space="preserve">OTHER:FIR_UIR</w:t>
      </w:r>
      <w:r>
        <w:t xml:space="preserve"> </w:t>
      </w:r>
      <w:r>
        <w:t xml:space="preserve">- Combined FIR/UIR</w:t>
      </w:r>
    </w:p>
    <w:p>
      <w:pPr>
        <w:pStyle w:val="Compact"/>
        <w:numPr>
          <w:ilvl w:val="1"/>
          <w:numId w:val="1030"/>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8">
        <w:r>
          <w:rPr>
            <w:rStyle w:val="Hyperlink"/>
          </w:rPr>
          <w:t xml:space="preserve">https://schemas.wmo.int/iwxxm/2025-2RC1/examples/sigmet-A6-1a-TS.xml</w:t>
        </w:r>
      </w:hyperlink>
    </w:p>
    <w:bookmarkEnd w:id="59"/>
    <w:bookmarkStart w:id="60"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31"/>
        </w:numPr>
      </w:pPr>
      <w:r>
        <w:rPr>
          <w:rStyle w:val="VerbatimChar"/>
        </w:rPr>
        <w:t xml:space="preserve">https://eur-registry.swim.aero/services/eurocontrol-iwxxm-metar-speci-subscription-and-request-service-10</w:t>
      </w:r>
    </w:p>
    <w:p>
      <w:pPr>
        <w:pStyle w:val="Compact"/>
        <w:numPr>
          <w:ilvl w:val="0"/>
          <w:numId w:val="1031"/>
        </w:numPr>
      </w:pPr>
      <w:r>
        <w:rPr>
          <w:rStyle w:val="VerbatimChar"/>
        </w:rPr>
        <w:t xml:space="preserve">https://eur-registry.swim.aero/services/eurocontrol-iwxxm-taf-subscription-and-request-service-10</w:t>
      </w:r>
    </w:p>
    <w:p>
      <w:pPr>
        <w:pStyle w:val="Compact"/>
        <w:numPr>
          <w:ilvl w:val="0"/>
          <w:numId w:val="1031"/>
        </w:numPr>
      </w:pPr>
      <w:r>
        <w:rPr>
          <w:rStyle w:val="VerbatimChar"/>
        </w:rPr>
        <w:t xml:space="preserve">https://eur-registry.swim.aero/services/eurocontrol-iwxxm-sigmet-subscription-and-request-service-10</w:t>
      </w:r>
    </w:p>
    <w:bookmarkEnd w:id="60"/>
    <w:bookmarkEnd w:id="61"/>
    <w:bookmarkStart w:id="68" w:name="temporal-properties"/>
    <w:p>
      <w:pPr>
        <w:pStyle w:val="Heading2"/>
      </w:pPr>
      <w:r>
        <w:rPr>
          <w:rStyle w:val="SectionNumber"/>
        </w:rPr>
        <w:t xml:space="preserve">8.3</w:t>
      </w:r>
      <w:r>
        <w:tab/>
      </w:r>
      <w:r>
        <w:t xml:space="preserve">Temporal Properties</w:t>
      </w:r>
    </w:p>
    <w:p>
      <w:pPr>
        <w:pStyle w:val="FirstParagraph"/>
      </w:pPr>
      <w:r>
        <w:t xml:space="preserve">These properties contain date and time information extracted from the IWXXM document.</w:t>
      </w:r>
    </w:p>
    <w:bookmarkStart w:id="63" w:name="issue_time-mandatory"/>
    <w:p>
      <w:pPr>
        <w:pStyle w:val="Heading3"/>
      </w:pPr>
      <w:r>
        <w:rPr>
          <w:rStyle w:val="SectionNumber"/>
        </w:rPr>
        <w:t xml:space="preserve">8.3.1</w:t>
      </w:r>
      <w:r>
        <w:tab/>
      </w:r>
      <w:r>
        <w:t xml:space="preserve">issue_time (mandatory)</w:t>
      </w:r>
    </w:p>
    <w:p>
      <w:pPr>
        <w:pStyle w:val="FirstParagraph"/>
      </w:pPr>
      <w:hyperlink r:id="rId62">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reference to WIS 2.0 WNP publication time (</w:t>
      </w:r>
      <w:r>
        <w:rPr>
          <w:rStyle w:val="VerbatimChar"/>
        </w:rPr>
        <w:t xml:space="preserve">properties.pubtime</w:t>
      </w:r>
      <w:r>
        <w:t xml:space="preserve">). However, the meaning of publication time in WNM is when the message was initially sent, which is closer to the meaning of the</w:t>
      </w:r>
      <w:r>
        <w:t xml:space="preserve"> </w:t>
      </w:r>
      <w:r>
        <w:rPr>
          <w:rStyle w:val="VerbatimChar"/>
        </w:rPr>
        <w:t xml:space="preserve">creation-time</w:t>
      </w:r>
      <w:r>
        <w:t xml:space="preserve"> </w:t>
      </w:r>
      <w:r>
        <w:t xml:space="preserve">in the AMQP transport header.</w:t>
      </w:r>
    </w:p>
    <w:bookmarkEnd w:id="63"/>
    <w:bookmarkStart w:id="65" w:name="datetime-conditional"/>
    <w:p>
      <w:pPr>
        <w:pStyle w:val="Heading3"/>
      </w:pPr>
      <w:r>
        <w:rPr>
          <w:rStyle w:val="SectionNumber"/>
        </w:rPr>
        <w:t xml:space="preserve">8.3.2</w:t>
      </w:r>
      <w:r>
        <w:tab/>
      </w:r>
      <w:r>
        <w:t xml:space="preserve">datetime (conditional)</w:t>
      </w:r>
    </w:p>
    <w:p>
      <w:pPr>
        <w:pStyle w:val="FirstParagraph"/>
      </w:pPr>
      <w:r>
        <w:t xml:space="preserve">For METAR/SPECI only - observation time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w:t>
      </w:r>
      <w:r>
        <w:t xml:space="preserve"> </w:t>
      </w:r>
      <w:r>
        <w:rPr>
          <w:rStyle w:val="VerbatimChar"/>
        </w:rPr>
        <w:t xml:space="preserve">properties.datetime</w:t>
      </w:r>
      <w:r>
        <w:t xml:space="preserve"> </w:t>
      </w:r>
      <w:r>
        <w:t xml:space="preserve">in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5"/>
    <w:bookmarkStart w:id="66" w:name="start_datetime-conditional"/>
    <w:p>
      <w:pPr>
        <w:pStyle w:val="Heading3"/>
      </w:pPr>
      <w:r>
        <w:rPr>
          <w:rStyle w:val="SectionNumber"/>
        </w:rPr>
        <w:t xml:space="preserve">8.3.3</w:t>
      </w:r>
      <w:r>
        <w:tab/>
      </w:r>
      <w:r>
        <w:t xml:space="preserve">start_datetime (conditional)</w:t>
      </w:r>
    </w:p>
    <w:p>
      <w:pPr>
        <w:pStyle w:val="FirstParagraph"/>
      </w:pPr>
      <w:r>
        <w:t xml:space="preserve">For TAF/SIGMET - start of validity period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4">
        <w:r>
          <w:rPr>
            <w:rStyle w:val="Hyperlink"/>
          </w:rPr>
          <w:t xml:space="preserve">Properties / Temporal description</w:t>
        </w:r>
      </w:hyperlink>
      <w:r>
        <w:t xml:space="preserve"> </w:t>
      </w:r>
      <w:r>
        <w:t xml:space="preserve">in the WNM specification.</w:t>
      </w:r>
    </w:p>
    <w:bookmarkEnd w:id="66"/>
    <w:bookmarkStart w:id="67" w:name="end_datetime-conditional"/>
    <w:p>
      <w:pPr>
        <w:pStyle w:val="Heading3"/>
      </w:pPr>
      <w:r>
        <w:rPr>
          <w:rStyle w:val="SectionNumber"/>
        </w:rPr>
        <w:t xml:space="preserve">8.3.4</w:t>
      </w:r>
      <w:r>
        <w:tab/>
      </w:r>
      <w:r>
        <w:t xml:space="preserve">end_datetime (conditional)</w:t>
      </w:r>
    </w:p>
    <w:p>
      <w:pPr>
        <w:pStyle w:val="FirstParagraph"/>
      </w:pPr>
      <w:r>
        <w:t xml:space="preserve">For TAF/SIGMET - end of validity period in</w:t>
      </w:r>
      <w:r>
        <w:t xml:space="preserve"> </w:t>
      </w:r>
      <w:hyperlink r:id="rId62">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7"/>
    <w:bookmarkEnd w:id="68"/>
    <w:bookmarkStart w:id="70" w:name="amqp-with-message-security"/>
    <w:p>
      <w:pPr>
        <w:pStyle w:val="Heading2"/>
      </w:pPr>
      <w:r>
        <w:rPr>
          <w:rStyle w:val="SectionNumber"/>
        </w:rPr>
        <w:t xml:space="preserve">8.4</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69">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0"/>
    <w:bookmarkEnd w:id="71"/>
    <w:bookmarkStart w:id="72"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2"/>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2"/>
        </w:numPr>
      </w:pPr>
      <w:r>
        <w:t xml:space="preserve">The payload can be optionally compressed using gzip; in this case, the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2"/>
    <w:bookmarkStart w:id="82" w:name="broker-and-client-library-compatibility"/>
    <w:p>
      <w:pPr>
        <w:pStyle w:val="Heading1"/>
      </w:pPr>
      <w:r>
        <w:rPr>
          <w:rStyle w:val="SectionNumber"/>
        </w:rPr>
        <w:t xml:space="preserve">10</w:t>
      </w:r>
      <w:r>
        <w:tab/>
      </w:r>
      <w:r>
        <w:t xml:space="preserve">Broker and Client Library Compatibility</w:t>
      </w:r>
    </w:p>
    <w:bookmarkStart w:id="73"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3"/>
    <w:bookmarkStart w:id="81"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the experience of a wider range of organisations. Qpid Proton C++ and Python APIs are known to work correctly.</w:t>
      </w:r>
    </w:p>
    <w:bookmarkStart w:id="75" w:name="javascriptnode.js"/>
    <w:p>
      <w:pPr>
        <w:pStyle w:val="Heading3"/>
      </w:pPr>
      <w:r>
        <w:rPr>
          <w:rStyle w:val="SectionNumber"/>
        </w:rPr>
        <w:t xml:space="preserve">10.2.1</w:t>
      </w:r>
      <w:r>
        <w:tab/>
      </w:r>
      <w:r>
        <w:t xml:space="preserve">JavaScript/Node.js</w:t>
      </w:r>
    </w:p>
    <w:p>
      <w:pPr>
        <w:pStyle w:val="Compact"/>
        <w:numPr>
          <w:ilvl w:val="0"/>
          <w:numId w:val="1033"/>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4">
        <w:r>
          <w:rPr>
            <w:rStyle w:val="Hyperlink"/>
          </w:rPr>
          <w:t xml:space="preserve">https://github.com/amqp/rhea</w:t>
        </w:r>
      </w:hyperlink>
      <w:r>
        <w:t xml:space="preserve">.</w:t>
      </w:r>
    </w:p>
    <w:bookmarkEnd w:id="75"/>
    <w:bookmarkStart w:id="77" w:name="python"/>
    <w:p>
      <w:pPr>
        <w:pStyle w:val="Heading3"/>
      </w:pPr>
      <w:r>
        <w:rPr>
          <w:rStyle w:val="SectionNumber"/>
        </w:rPr>
        <w:t xml:space="preserve">10.2.2</w:t>
      </w:r>
      <w:r>
        <w:tab/>
      </w:r>
      <w:r>
        <w:t xml:space="preserve">Python</w:t>
      </w:r>
    </w:p>
    <w:p>
      <w:pPr>
        <w:pStyle w:val="Compact"/>
        <w:numPr>
          <w:ilvl w:val="0"/>
          <w:numId w:val="1034"/>
        </w:numPr>
      </w:pPr>
      <w:r>
        <w:rPr>
          <w:b/>
          <w:bCs/>
        </w:rPr>
        <w:t xml:space="preserve">Qpid Proton Python API</w:t>
      </w:r>
      <w:r>
        <w:t xml:space="preserve"> </w:t>
      </w:r>
      <w:r>
        <w:t xml:space="preserve">- Part of</w:t>
      </w:r>
      <w:r>
        <w:t xml:space="preserve"> </w:t>
      </w:r>
      <w:hyperlink r:id="rId76">
        <w:r>
          <w:rPr>
            <w:rStyle w:val="Hyperlink"/>
          </w:rPr>
          <w:t xml:space="preserve">Apache Qpid Proton</w:t>
        </w:r>
      </w:hyperlink>
      <w:r>
        <w:t xml:space="preserve">, this is a mature and well-tested library with full AMQP 1.0 support. Successfully used with ActiveMQ Artemis, RabbitMQ, and other AMQP 1.0 brokers.</w:t>
      </w:r>
    </w:p>
    <w:bookmarkEnd w:id="77"/>
    <w:bookmarkStart w:id="78" w:name="c"/>
    <w:p>
      <w:pPr>
        <w:pStyle w:val="Heading3"/>
      </w:pPr>
      <w:r>
        <w:rPr>
          <w:rStyle w:val="SectionNumber"/>
        </w:rPr>
        <w:t xml:space="preserve">10.2.3</w:t>
      </w:r>
      <w:r>
        <w:tab/>
      </w:r>
      <w:r>
        <w:t xml:space="preserve">C++</w:t>
      </w:r>
    </w:p>
    <w:p>
      <w:pPr>
        <w:pStyle w:val="Compact"/>
        <w:numPr>
          <w:ilvl w:val="0"/>
          <w:numId w:val="1035"/>
        </w:numPr>
      </w:pPr>
      <w:r>
        <w:rPr>
          <w:b/>
          <w:bCs/>
        </w:rPr>
        <w:t xml:space="preserve">Qpid Proton C++</w:t>
      </w:r>
      <w:r>
        <w:t xml:space="preserve"> </w:t>
      </w:r>
      <w:r>
        <w:t xml:space="preserve">- Part of</w:t>
      </w:r>
      <w:r>
        <w:t xml:space="preserve"> </w:t>
      </w:r>
      <w:hyperlink r:id="rId76">
        <w:r>
          <w:rPr>
            <w:rStyle w:val="Hyperlink"/>
          </w:rPr>
          <w:t xml:space="preserve">Apache Qpid Proton</w:t>
        </w:r>
      </w:hyperlink>
      <w:r>
        <w:t xml:space="preserve">, verified to work properly with AMQP 1.0 brokers. Provides a portable C implementation with C++ bindings.</w:t>
      </w:r>
    </w:p>
    <w:bookmarkEnd w:id="78"/>
    <w:bookmarkStart w:id="79" w:name="java"/>
    <w:p>
      <w:pPr>
        <w:pStyle w:val="Heading3"/>
      </w:pPr>
      <w:r>
        <w:rPr>
          <w:rStyle w:val="SectionNumber"/>
        </w:rPr>
        <w:t xml:space="preserve">10.2.4</w:t>
      </w:r>
      <w:r>
        <w:tab/>
      </w:r>
      <w:r>
        <w:t xml:space="preserve">Java</w:t>
      </w:r>
    </w:p>
    <w:p>
      <w:pPr>
        <w:pStyle w:val="Compact"/>
        <w:numPr>
          <w:ilvl w:val="0"/>
          <w:numId w:val="1036"/>
        </w:numPr>
      </w:pPr>
      <w:r>
        <w:rPr>
          <w:b/>
          <w:bCs/>
        </w:rPr>
        <w:t xml:space="preserve">Apache Qpid Proton-J</w:t>
      </w:r>
      <w:r>
        <w:t xml:space="preserve"> </w:t>
      </w:r>
      <w:r>
        <w:t xml:space="preserve">is a Java implementation from</w:t>
      </w:r>
      <w:r>
        <w:t xml:space="preserve"> </w:t>
      </w:r>
      <w:hyperlink w:anchor="apache-qpid-proton">
        <w:r>
          <w:rPr>
            <w:rStyle w:val="Hyperlink"/>
          </w:rPr>
          <w:t xml:space="preserve">apache Qpid Proton</w:t>
        </w:r>
      </w:hyperlink>
      <w:r>
        <w:t xml:space="preserve"> </w:t>
      </w:r>
      <w:r>
        <w:t xml:space="preserve">(https://qpid.apache.org/proton/index.html). While not directly tested in MET-SWIM implementations, it is expected to work reliably based on the proven track record of other Qpid Proton language implementations.</w:t>
      </w:r>
    </w:p>
    <w:bookmarkEnd w:id="79"/>
    <w:bookmarkStart w:id="80" w:name="dotnet"/>
    <w:p>
      <w:pPr>
        <w:pStyle w:val="Heading3"/>
      </w:pPr>
      <w:r>
        <w:rPr>
          <w:rStyle w:val="SectionNumber"/>
        </w:rPr>
        <w:t xml:space="preserve">10.2.5</w:t>
      </w:r>
      <w:r>
        <w:tab/>
      </w:r>
      <w:r>
        <w:t xml:space="preserve">DotNet</w:t>
      </w:r>
    </w:p>
    <w:p>
      <w:pPr>
        <w:pStyle w:val="Compact"/>
        <w:numPr>
          <w:ilvl w:val="0"/>
          <w:numId w:val="1037"/>
        </w:numPr>
      </w:pPr>
      <w:r>
        <w:rPr>
          <w:b/>
          <w:bCs/>
        </w:rPr>
        <w:t xml:space="preserve">Qpid Proton DotNet</w:t>
      </w:r>
      <w:r>
        <w:t xml:space="preserve"> </w:t>
      </w:r>
      <w:r>
        <w:t xml:space="preserve">- .NET implementation from</w:t>
      </w:r>
      <w:r>
        <w:t xml:space="preserve"> </w:t>
      </w:r>
      <w:hyperlink r:id="rId76">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Organisations implementing MET-SWIM in these languages should verify compatibility with their chosen broker before deployment.</w:t>
      </w:r>
    </w:p>
    <w:bookmarkEnd w:id="80"/>
    <w:bookmarkEnd w:id="81"/>
    <w:bookmarkEnd w:id="82"/>
    <w:bookmarkStart w:id="86" w:name="amqp-message-examples"/>
    <w:p>
      <w:pPr>
        <w:pStyle w:val="Heading1"/>
      </w:pPr>
      <w:r>
        <w:rPr>
          <w:rStyle w:val="SectionNumber"/>
        </w:rPr>
        <w:t xml:space="preserve">11</w:t>
      </w:r>
      <w:r>
        <w:tab/>
      </w:r>
      <w:r>
        <w:t xml:space="preserve">AMQP Message Examples</w:t>
      </w:r>
    </w:p>
    <w:bookmarkStart w:id="83"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3"/>
    <w:bookmarkStart w:id="84"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4"/>
    <w:bookmarkStart w:id="85"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5"/>
    <w:bookmarkEnd w:id="86"/>
    <w:bookmarkStart w:id="93" w:name="appendices"/>
    <w:p>
      <w:pPr>
        <w:pStyle w:val="Heading1"/>
      </w:pPr>
      <w:r>
        <w:rPr>
          <w:rStyle w:val="SectionNumber"/>
        </w:rPr>
        <w:t xml:space="preserve">12</w:t>
      </w:r>
      <w:r>
        <w:tab/>
      </w:r>
      <w:r>
        <w:t xml:space="preserve">Appendices</w:t>
      </w:r>
    </w:p>
    <w:bookmarkStart w:id="92"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89"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7">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8"/>
        </w:numPr>
      </w:pPr>
      <w:r>
        <w:rPr>
          <w:b/>
          <w:bCs/>
        </w:rPr>
        <w:t xml:space="preserve">Parse the XML document</w:t>
      </w:r>
      <w:r>
        <w:t xml:space="preserve"> </w:t>
      </w:r>
      <w:r>
        <w:t xml:space="preserve">and access the root element</w:t>
      </w:r>
    </w:p>
    <w:p>
      <w:pPr>
        <w:pStyle w:val="Compact"/>
        <w:numPr>
          <w:ilvl w:val="0"/>
          <w:numId w:val="1038"/>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8"/>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8"/>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8"/>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8">
        <w:r>
          <w:rPr>
            <w:rStyle w:val="Hyperlink"/>
          </w:rPr>
          <w:t xml:space="preserve">IBL swimdemo iwxxm_utils.py</w:t>
        </w:r>
      </w:hyperlink>
      <w:r>
        <w:t xml:space="preserve"> </w:t>
      </w:r>
      <w:r>
        <w:t xml:space="preserve">provides a working example of this approach.</w:t>
      </w:r>
    </w:p>
    <w:p>
      <w:pPr>
        <w:pStyle w:val="BodyText"/>
      </w:pPr>
      <w:r>
        <w:rPr>
          <w:b/>
          <w:bCs/>
        </w:rPr>
        <w:t xml:space="preserve">Legacy vs. Current Namespace Examples</w:t>
      </w:r>
      <w:r>
        <w:t xml:space="preserve">:</w:t>
      </w:r>
    </w:p>
    <w:p>
      <w:pPr>
        <w:pStyle w:val="SourceCode"/>
      </w:pPr>
      <w:r>
        <w:rPr>
          <w:rStyle w:val="CommentTok"/>
        </w:rPr>
        <w:t xml:space="preserve">&lt;!-- Legacy IWXXM (pre-2023) --&gt;</w:t>
      </w:r>
      <w:r>
        <w:br/>
      </w:r>
      <w:r>
        <w:rPr>
          <w:rStyle w:val="NormalTok"/>
        </w:rPr>
        <w:t xml:space="preserve">xmlns:iwxxm="http://icao.int/iwxxm/2.1"</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(2023+)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89"/>
    <w:bookmarkStart w:id="90"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9"/>
        </w:numPr>
      </w:pPr>
      <w:r>
        <w:rPr>
          <w:b/>
          <w:bCs/>
        </w:rPr>
        <w:t xml:space="preserve">METAR/SPECI</w:t>
      </w:r>
      <w:r>
        <w:t xml:space="preserve">:</w:t>
      </w:r>
      <w:r>
        <w:t xml:space="preserve"> </w:t>
      </w:r>
      <w:r>
        <w:rPr>
          <w:rStyle w:val="VerbatimChar"/>
        </w:rPr>
        <w:t xml:space="preserve">&lt;iwxxm:METAR&gt;</w:t>
      </w:r>
    </w:p>
    <w:p>
      <w:pPr>
        <w:pStyle w:val="Compact"/>
        <w:numPr>
          <w:ilvl w:val="0"/>
          <w:numId w:val="1039"/>
        </w:numPr>
      </w:pPr>
      <w:r>
        <w:rPr>
          <w:b/>
          <w:bCs/>
        </w:rPr>
        <w:t xml:space="preserve">TAF</w:t>
      </w:r>
      <w:r>
        <w:t xml:space="preserve">:</w:t>
      </w:r>
      <w:r>
        <w:t xml:space="preserve"> </w:t>
      </w:r>
      <w:r>
        <w:rPr>
          <w:rStyle w:val="VerbatimChar"/>
        </w:rPr>
        <w:t xml:space="preserve">&lt;iwxxm:TAF&gt;</w:t>
      </w:r>
    </w:p>
    <w:p>
      <w:pPr>
        <w:pStyle w:val="Compact"/>
        <w:numPr>
          <w:ilvl w:val="0"/>
          <w:numId w:val="1039"/>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40"/>
        </w:numPr>
      </w:pPr>
      <w:r>
        <w:rPr>
          <w:b/>
          <w:bCs/>
        </w:rPr>
        <w:t xml:space="preserve">Report metadata</w:t>
      </w:r>
      <w:r>
        <w:t xml:space="preserve"> </w:t>
      </w:r>
      <w:r>
        <w:t xml:space="preserve">(issue time, status, location references)</w:t>
      </w:r>
    </w:p>
    <w:p>
      <w:pPr>
        <w:pStyle w:val="Compact"/>
        <w:numPr>
          <w:ilvl w:val="0"/>
          <w:numId w:val="1040"/>
        </w:numPr>
      </w:pPr>
      <w:r>
        <w:rPr>
          <w:b/>
          <w:bCs/>
        </w:rPr>
        <w:t xml:space="preserve">Validity period</w:t>
      </w:r>
      <w:r>
        <w:t xml:space="preserve"> </w:t>
      </w:r>
      <w:r>
        <w:t xml:space="preserve">(for TAF and SIGMET)</w:t>
      </w:r>
    </w:p>
    <w:p>
      <w:pPr>
        <w:pStyle w:val="Compact"/>
        <w:numPr>
          <w:ilvl w:val="0"/>
          <w:numId w:val="1040"/>
        </w:numPr>
      </w:pPr>
      <w:r>
        <w:rPr>
          <w:b/>
          <w:bCs/>
        </w:rPr>
        <w:t xml:space="preserve">Observation time</w:t>
      </w:r>
      <w:r>
        <w:t xml:space="preserve"> </w:t>
      </w:r>
      <w:r>
        <w:t xml:space="preserve">(for METAR/SPECI)</w:t>
      </w:r>
    </w:p>
    <w:p>
      <w:pPr>
        <w:pStyle w:val="Compact"/>
        <w:numPr>
          <w:ilvl w:val="0"/>
          <w:numId w:val="1040"/>
        </w:numPr>
      </w:pPr>
      <w:r>
        <w:rPr>
          <w:b/>
          <w:bCs/>
        </w:rPr>
        <w:t xml:space="preserve">Location information</w:t>
      </w:r>
      <w:r>
        <w:t xml:space="preserve"> </w:t>
      </w:r>
      <w:r>
        <w:t xml:space="preserve">(aerodrome or airspace references)</w:t>
      </w:r>
    </w:p>
    <w:p>
      <w:pPr>
        <w:pStyle w:val="Compact"/>
        <w:numPr>
          <w:ilvl w:val="0"/>
          <w:numId w:val="1040"/>
        </w:numPr>
      </w:pPr>
      <w:r>
        <w:rPr>
          <w:b/>
          <w:bCs/>
        </w:rPr>
        <w:t xml:space="preserve">Meteorological content</w:t>
      </w:r>
      <w:r>
        <w:t xml:space="preserve"> </w:t>
      </w:r>
      <w:r>
        <w:t xml:space="preserve">(actual weather observations/forecasts)</w:t>
      </w:r>
    </w:p>
    <w:bookmarkEnd w:id="90"/>
    <w:bookmarkStart w:id="91" w:name="property-extraction-reference"/>
    <w:p>
      <w:pPr>
        <w:pStyle w:val="Heading3"/>
      </w:pPr>
      <w:r>
        <w:rPr>
          <w:rStyle w:val="SectionNumber"/>
        </w:rPr>
        <w:t xml:space="preserve">12.1.3</w:t>
      </w:r>
      <w:r>
        <w:tab/>
      </w:r>
      <w:r>
        <w:t xml:space="preserve">Property Extraction Reference</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1"/>
    <w:bookmarkEnd w:id="92"/>
    <w:bookmarkEnd w:id="9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69"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4"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8"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6" Target="https://qpid.apache.org/proton/index.html" TargetMode="External" /><Relationship Type="http://schemas.openxmlformats.org/officeDocument/2006/relationships/hyperlink" Id="rId87"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4"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2025-08-14T14:10:54Z</dcterms:created>
  <dcterms:modified xsi:type="dcterms:W3CDTF">2025-08-14T14:10:54Z</dcterms:modified>
</cp:coreProperties>
</file>

<file path=docProps/custom.xml><?xml version="1.0" encoding="utf-8"?>
<Properties xmlns="http://schemas.openxmlformats.org/officeDocument/2006/custom-properties" xmlns:vt="http://schemas.openxmlformats.org/officeDocument/2006/docPropsVTypes"/>
</file>