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(June 2025) Initial draft.</w:t>
      </w:r>
    </w:p>
    <w:p>
      <w:pPr>
        <w:pStyle w:val="Compact"/>
        <w:numPr>
          <w:ilvl w:val="0"/>
          <w:numId w:val="1002"/>
        </w:numPr>
      </w:pPr>
      <w:r>
        <w:t xml:space="preserve">1.0-draft2 (August 2025)</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based on WIS 2.0 WNM, SWIM TI Yellow Profile 2.0 mandates usage of S/MIME 4.0 for this purpose.</w:t>
      </w:r>
    </w:p>
    <w:p>
      <w:pPr>
        <w:pStyle w:val="Compact"/>
        <w:numPr>
          <w:ilvl w:val="2"/>
          <w:numId w:val="1004"/>
        </w:numPr>
      </w:pPr>
      <w:r>
        <w:t xml:space="preserve">Technical messages</w:t>
      </w:r>
    </w:p>
    <w:p>
      <w:pPr>
        <w:pStyle w:val="Compact"/>
        <w:numPr>
          <w:ilvl w:val="1"/>
          <w:numId w:val="1003"/>
        </w:numPr>
      </w:pPr>
      <w:r>
        <w:t xml:space="preserve">The only way of sending IWWXM is now embeddeding the data in the AMQP message payload with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 simply</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WIS 2.0 Notification Message (WNM) standard because the WNM notifications conform to GeoJSON structure. The GeoJSON specification mandates that all custom properties need to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for usage of the prefix.</w:t>
      </w:r>
    </w:p>
    <w:p>
      <w:pPr>
        <w:pStyle w:val="Compact"/>
        <w:numPr>
          <w:ilvl w:val="1"/>
          <w:numId w:val="1003"/>
        </w:numPr>
      </w:pPr>
      <w:r>
        <w:t xml:space="preserve">New application property</w:t>
      </w:r>
      <w:r>
        <w:t xml:space="preserve"> </w:t>
      </w:r>
      <w:r>
        <w:rPr>
          <w:rStyle w:val="VerbatimChar"/>
        </w:rPr>
        <w:t xml:space="preserve">report_type</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New application property</w:t>
      </w:r>
      <w:r>
        <w:t xml:space="preserve"> </w:t>
      </w:r>
      <w:r>
        <w:rPr>
          <w:rStyle w:val="VerbatimChar"/>
        </w:rPr>
        <w:t xml:space="preserve">issue_time</w:t>
      </w:r>
      <w:r>
        <w:t xml:space="preserve"> </w:t>
      </w:r>
      <w:r>
        <w:t xml:space="preserve">replaces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 properties.pubtime 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tbl>
      <w:tblPr>
        <w:tblStyle w:val="Table"/>
        <w:tblW w:type="pct" w:w="5000"/>
        <w:tblLayout w:type="fixed"/>
        <w:tblLook w:firstRow="1" w:lastRow="0" w:firstColumn="0" w:lastColumn="0" w:noHBand="0" w:noVBand="0" w:val="0020"/>
      </w:tblPr>
      <w:tblGrid>
        <w:gridCol w:w="2970"/>
        <w:gridCol w:w="1980"/>
        <w:gridCol w:w="2970"/>
      </w:tblGrid>
      <w:tr>
        <w:trPr>
          <w:tblHeader w:val="on"/>
        </w:trPr>
        <w:tc>
          <w:tcPr/>
          <w:p>
            <w:pPr>
              <w:pStyle w:val="Compact"/>
            </w:pPr>
            <w:r>
              <w:t xml:space="preserve">Version</w:t>
            </w:r>
          </w:p>
        </w:tc>
        <w:tc>
          <w:tcPr/>
          <w:p>
            <w:pPr>
              <w:pStyle w:val="Compact"/>
            </w:pPr>
            <w:r>
              <w:t xml:space="preserve">Date</w:t>
            </w:r>
          </w:p>
        </w:tc>
        <w:tc>
          <w:tcPr/>
          <w:p>
            <w:pPr>
              <w:pStyle w:val="Compact"/>
            </w:pPr>
            <w:r>
              <w:t xml:space="preserve">Changes</w:t>
            </w:r>
          </w:p>
        </w:tc>
      </w:tr>
      <w:tr>
        <w:tc>
          <w:tcPr/>
          <w:p>
            <w:pPr>
              <w:pStyle w:val="Compact"/>
            </w:pPr>
            <w:r>
              <w:t xml:space="preserve">1.0-draft</w:t>
            </w:r>
          </w:p>
        </w:tc>
        <w:tc>
          <w:tcPr/>
          <w:p>
            <w:pPr>
              <w:pStyle w:val="Compact"/>
            </w:pPr>
            <w:r>
              <w:t xml:space="preserve">2025-06</w:t>
            </w:r>
          </w:p>
        </w:tc>
        <w:tc>
          <w:tcPr/>
          <w:p>
            <w:pPr>
              <w:pStyle w:val="Compact"/>
            </w:pPr>
            <w:r>
              <w:t xml:space="preserve">Initial draft.</w:t>
            </w:r>
          </w:p>
        </w:tc>
      </w:tr>
      <w:tr>
        <w:tc>
          <w:tcPr/>
          <w:p>
            <w:pPr>
              <w:pStyle w:val="Compact"/>
            </w:pPr>
            <w:r>
              <w:t xml:space="preserve">1.0-draft2</w:t>
            </w:r>
          </w:p>
        </w:tc>
        <w:tc>
          <w:tcPr/>
          <w:p>
            <w:pPr>
              <w:pStyle w:val="Compact"/>
            </w:pPr>
            <w:r>
              <w:t xml:space="preserve">2025-08</w:t>
            </w:r>
          </w:p>
        </w:tc>
        <w:tc>
          <w:tcPr/>
          <w:p>
            <w:pPr>
              <w:pStyle w:val="Compact"/>
            </w:pPr>
            <w:r>
              <w:t xml:space="preserve">Incorporated feedback, simplified, split into</w:t>
            </w:r>
            <w:r>
              <w:t xml:space="preserve"> </w:t>
            </w:r>
            <w:r>
              <w:t xml:space="preserve">“CP1”</w:t>
            </w:r>
            <w:r>
              <w:t xml:space="preserve"> </w:t>
            </w:r>
            <w:r>
              <w:t xml:space="preserve">and</w:t>
            </w:r>
            <w:r>
              <w:t xml:space="preserve"> </w:t>
            </w:r>
            <w:r>
              <w:t xml:space="preserve">“Next”</w:t>
            </w:r>
            <w:r>
              <w:t xml:space="preserve"> </w:t>
            </w:r>
            <w:r>
              <w:t xml:space="preserve">for properties beyond CP1.</w:t>
            </w:r>
          </w:p>
        </w:tc>
      </w:tr>
    </w:tbl>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5"/>
        </w:numPr>
      </w:pPr>
      <w:r>
        <w:t xml:space="preserve">Ensure interoperability between different MET-SWIM implementations</w:t>
      </w:r>
    </w:p>
    <w:p>
      <w:pPr>
        <w:pStyle w:val="Compact"/>
        <w:numPr>
          <w:ilvl w:val="0"/>
          <w:numId w:val="1005"/>
        </w:numPr>
      </w:pPr>
      <w:r>
        <w:t xml:space="preserve">Standardise AMQP message properties for meteorological data exchange</w:t>
      </w:r>
    </w:p>
    <w:p>
      <w:pPr>
        <w:pStyle w:val="Compact"/>
        <w:numPr>
          <w:ilvl w:val="0"/>
          <w:numId w:val="1005"/>
        </w:numPr>
      </w:pPr>
      <w:r>
        <w:t xml:space="preserve">Enable efficient filtering of messages</w:t>
      </w:r>
    </w:p>
    <w:p>
      <w:pPr>
        <w:pStyle w:val="Compact"/>
        <w:numPr>
          <w:ilvl w:val="0"/>
          <w:numId w:val="1005"/>
        </w:numPr>
      </w:pPr>
      <w:r>
        <w:t xml:space="preserve">Enable routing of messages to downstream systems based on typical information like report type or aerodrome/FIR code.</w:t>
      </w:r>
    </w:p>
    <w:p>
      <w:pPr>
        <w:pStyle w:val="Compact"/>
        <w:numPr>
          <w:ilvl w:val="0"/>
          <w:numId w:val="1005"/>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7"/>
        </w:numPr>
      </w:pPr>
      <w:r>
        <w:t xml:space="preserve">Boris Burger (IBL)</w:t>
      </w:r>
    </w:p>
    <w:p>
      <w:pPr>
        <w:pStyle w:val="Compact"/>
        <w:numPr>
          <w:ilvl w:val="1"/>
          <w:numId w:val="1008"/>
        </w:numPr>
      </w:pPr>
      <w:r>
        <w:t xml:space="preserve">Further alignment with AMQP, WNM, and incorporating feedback.</w:t>
      </w:r>
    </w:p>
    <w:p>
      <w:pPr>
        <w:pStyle w:val="Compact"/>
        <w:numPr>
          <w:ilvl w:val="1"/>
          <w:numId w:val="1008"/>
        </w:numPr>
      </w:pPr>
      <w:r>
        <w:t xml:space="preserve">Relationship of AMQP properties to IWXXM data model.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0"/>
        </w:numPr>
      </w:pPr>
      <w:hyperlink r:id="rId19">
        <w:r>
          <w:rPr>
            <w:rStyle w:val="Hyperlink"/>
          </w:rPr>
          <w:t xml:space="preserve">EU Common Project Regulation (CP1)</w:t>
        </w:r>
      </w:hyperlink>
    </w:p>
    <w:p>
      <w:pPr>
        <w:pStyle w:val="Compact"/>
        <w:numPr>
          <w:ilvl w:val="0"/>
          <w:numId w:val="1010"/>
        </w:numPr>
      </w:pPr>
      <w:hyperlink r:id="rId20">
        <w:r>
          <w:rPr>
            <w:rStyle w:val="Hyperlink"/>
          </w:rPr>
          <w:t xml:space="preserve">IWXXM METAR-SPECI Subscription and Request Service 1.0</w:t>
        </w:r>
      </w:hyperlink>
    </w:p>
    <w:p>
      <w:pPr>
        <w:pStyle w:val="Compact"/>
        <w:numPr>
          <w:ilvl w:val="0"/>
          <w:numId w:val="1010"/>
        </w:numPr>
      </w:pPr>
      <w:hyperlink r:id="rId21">
        <w:r>
          <w:rPr>
            <w:rStyle w:val="Hyperlink"/>
          </w:rPr>
          <w:t xml:space="preserve">IWXXM SIGMET Subscription and Request Service 1.0</w:t>
        </w:r>
      </w:hyperlink>
    </w:p>
    <w:p>
      <w:pPr>
        <w:pStyle w:val="Compact"/>
        <w:numPr>
          <w:ilvl w:val="0"/>
          <w:numId w:val="1010"/>
        </w:numPr>
      </w:pPr>
      <w:hyperlink r:id="rId22">
        <w:r>
          <w:rPr>
            <w:rStyle w:val="Hyperlink"/>
          </w:rPr>
          <w:t xml:space="preserve">IWXXM TAF Subscription and Request Service 1.0</w:t>
        </w:r>
      </w:hyperlink>
    </w:p>
    <w:p>
      <w:pPr>
        <w:pStyle w:val="Compact"/>
        <w:numPr>
          <w:ilvl w:val="0"/>
          <w:numId w:val="1010"/>
        </w:numPr>
      </w:pPr>
      <w:hyperlink r:id="rId23">
        <w:r>
          <w:rPr>
            <w:rStyle w:val="Hyperlink"/>
          </w:rPr>
          <w:t xml:space="preserve">OASIS AMQP 1.0 Specification, Part 3: Messaging</w:t>
        </w:r>
      </w:hyperlink>
    </w:p>
    <w:p>
      <w:pPr>
        <w:pStyle w:val="Compact"/>
        <w:numPr>
          <w:ilvl w:val="0"/>
          <w:numId w:val="1010"/>
        </w:numPr>
      </w:pPr>
      <w:hyperlink r:id="rId24">
        <w:r>
          <w:rPr>
            <w:rStyle w:val="Hyperlink"/>
          </w:rPr>
          <w:t xml:space="preserve">OGC API - Environmental Data Retrieval (EDR)</w:t>
        </w:r>
      </w:hyperlink>
    </w:p>
    <w:p>
      <w:pPr>
        <w:pStyle w:val="Compact"/>
        <w:numPr>
          <w:ilvl w:val="0"/>
          <w:numId w:val="1010"/>
        </w:numPr>
      </w:pPr>
      <w:hyperlink r:id="rId15">
        <w:r>
          <w:rPr>
            <w:rStyle w:val="Hyperlink"/>
          </w:rPr>
          <w:t xml:space="preserve">OGC API - Environmental Data Retrieval (EDR) Part 2: Publish-Subscribe workflow</w:t>
        </w:r>
      </w:hyperlink>
    </w:p>
    <w:p>
      <w:pPr>
        <w:pStyle w:val="Compact"/>
        <w:numPr>
          <w:ilvl w:val="0"/>
          <w:numId w:val="1010"/>
        </w:numPr>
      </w:pPr>
      <w:hyperlink r:id="rId25">
        <w:r>
          <w:rPr>
            <w:rStyle w:val="Hyperlink"/>
          </w:rPr>
          <w:t xml:space="preserve">AMQP Filter Expressions 1.0</w:t>
        </w:r>
      </w:hyperlink>
    </w:p>
    <w:p>
      <w:pPr>
        <w:pStyle w:val="Compact"/>
        <w:numPr>
          <w:ilvl w:val="0"/>
          <w:numId w:val="1010"/>
        </w:numPr>
      </w:pPr>
      <w:hyperlink r:id="rId26">
        <w:r>
          <w:rPr>
            <w:rStyle w:val="Hyperlink"/>
          </w:rPr>
          <w:t xml:space="preserve">WMO WIS 2.0 Overview</w:t>
        </w:r>
      </w:hyperlink>
    </w:p>
    <w:p>
      <w:pPr>
        <w:pStyle w:val="Compact"/>
        <w:numPr>
          <w:ilvl w:val="0"/>
          <w:numId w:val="1010"/>
        </w:numPr>
      </w:pPr>
      <w:hyperlink r:id="rId14">
        <w:r>
          <w:rPr>
            <w:rStyle w:val="Hyperlink"/>
          </w:rPr>
          <w:t xml:space="preserve">WMO WIS 2.0 Notification Message Standard</w:t>
        </w:r>
      </w:hyperlink>
    </w:p>
    <w:p>
      <w:pPr>
        <w:pStyle w:val="Compact"/>
        <w:numPr>
          <w:ilvl w:val="0"/>
          <w:numId w:val="1010"/>
        </w:numPr>
      </w:pPr>
      <w:hyperlink r:id="rId27">
        <w:r>
          <w:rPr>
            <w:rStyle w:val="Hyperlink"/>
          </w:rPr>
          <w:t xml:space="preserve">RFC 3339 - Date and Time on the Internet</w:t>
        </w:r>
      </w:hyperlink>
    </w:p>
    <w:p>
      <w:pPr>
        <w:pStyle w:val="Compact"/>
        <w:numPr>
          <w:ilvl w:val="0"/>
          <w:numId w:val="1010"/>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4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46"/>
    <w:bookmarkStart w:id="47" w:name="absolute-expiry-time-optional"/>
    <w:p>
      <w:pPr>
        <w:pStyle w:val="Heading2"/>
      </w:pPr>
      <w:r>
        <w:rPr>
          <w:rStyle w:val="SectionNumber"/>
        </w:rPr>
        <w:t xml:space="preserve">7.4</w:t>
      </w:r>
      <w:r>
        <w:tab/>
      </w:r>
      <w:r>
        <w:t xml:space="preserve">absolute-expiry-time (OPTIONAL)</w:t>
      </w:r>
    </w:p>
    <w:p>
      <w:pPr>
        <w:pStyle w:val="FirstParagraph"/>
      </w:pPr>
      <w:r>
        <w:t xml:space="preserve">Unix timestamp indicating when the message should expire in the broker and from the durable queues.</w:t>
      </w:r>
    </w:p>
    <w:p>
      <w:pPr>
        <w:pStyle w:val="BodyText"/>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t xml:space="preserve">Example: 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47"/>
    <w:bookmarkStart w:id="48" w:name="creation-time-optional"/>
    <w:p>
      <w:pPr>
        <w:pStyle w:val="Heading2"/>
      </w:pPr>
      <w:r>
        <w:rPr>
          <w:rStyle w:val="SectionNumber"/>
        </w:rPr>
        <w:t xml:space="preserve">7.5</w:t>
      </w:r>
      <w:r>
        <w:tab/>
      </w:r>
      <w:r>
        <w:t xml:space="preserve">creation-time (OPTIONAL)</w:t>
      </w:r>
    </w:p>
    <w:p>
      <w:pPr>
        <w:pStyle w:val="FirstParagraph"/>
      </w:pPr>
      <w:r>
        <w:t xml:space="preserve">This is the Unix timestamp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8"/>
    <w:bookmarkEnd w:id="49"/>
    <w:bookmarkStart w:id="71"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1">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5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3"/>
    <w:bookmarkStart w:id="6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4"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4"/>
    <w:bookmarkStart w:id="55"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5"/>
    <w:bookmarkStart w:id="59" w:name="icao_location_type-mandatory"/>
    <w:p>
      <w:pPr>
        <w:pStyle w:val="Heading3"/>
      </w:pPr>
      <w:r>
        <w:rPr>
          <w:rStyle w:val="SectionNumber"/>
        </w:rPr>
        <w:t xml:space="preserve">8.2.3</w:t>
      </w:r>
      <w:r>
        <w:tab/>
      </w:r>
      <w:r>
        <w:t xml:space="preserve">icao_location_type (mandatory)</w:t>
      </w:r>
    </w:p>
    <w:p>
      <w:pPr>
        <w:pStyle w:val="FirstParagraph"/>
      </w:pPr>
      <w:r>
        <w:t xml:space="preserve">Type of location identifier. Mandatory if</w:t>
      </w:r>
      <w:r>
        <w:t xml:space="preserve"> </w:t>
      </w:r>
      <w:r>
        <w:rPr>
          <w:rStyle w:val="VerbatimChar"/>
        </w:rPr>
        <w:t xml:space="preserve">icao_location_identifier</w:t>
      </w:r>
      <w:r>
        <w:t xml:space="preserve"> </w:t>
      </w:r>
      <w:r>
        <w:t xml:space="preserve">was provided.</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56">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8">
        <w:r>
          <w:rPr>
            <w:rStyle w:val="Hyperlink"/>
          </w:rPr>
          <w:t xml:space="preserve">https://schemas.wmo.int/iwxxm/2025-2RC1/examples/sigmet-A6-1a-TS.xml</w:t>
        </w:r>
      </w:hyperlink>
    </w:p>
    <w:bookmarkEnd w:id="59"/>
    <w:bookmarkStart w:id="6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60"/>
    <w:bookmarkEnd w:id="61"/>
    <w:bookmarkStart w:id="68" w:name="temporal-properties"/>
    <w:p>
      <w:pPr>
        <w:pStyle w:val="Heading2"/>
      </w:pPr>
      <w:r>
        <w:rPr>
          <w:rStyle w:val="SectionNumber"/>
        </w:rPr>
        <w:t xml:space="preserve">8.3</w:t>
      </w:r>
      <w:r>
        <w:tab/>
      </w:r>
      <w:r>
        <w:t xml:space="preserve">Temporal Properties</w:t>
      </w:r>
    </w:p>
    <w:p>
      <w:pPr>
        <w:pStyle w:val="FirstParagraph"/>
      </w:pPr>
      <w:r>
        <w:t xml:space="preserve">These properties contain date and time information extracted from the IWXXM document.</w:t>
      </w:r>
    </w:p>
    <w:bookmarkStart w:id="63" w:name="issue_time-mandatory"/>
    <w:p>
      <w:pPr>
        <w:pStyle w:val="Heading3"/>
      </w:pPr>
      <w:r>
        <w:rPr>
          <w:rStyle w:val="SectionNumber"/>
        </w:rPr>
        <w:t xml:space="preserve">8.3.1</w:t>
      </w:r>
      <w:r>
        <w:tab/>
      </w:r>
      <w:r>
        <w:t xml:space="preserve">issue_time (mandatory)</w:t>
      </w:r>
    </w:p>
    <w:p>
      <w:pPr>
        <w:pStyle w:val="FirstParagraph"/>
      </w:pPr>
      <w:hyperlink r:id="rId6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meaning of publication time in WNM is when the message was initially sent, which is closer to the meaning of the</w:t>
      </w:r>
      <w:r>
        <w:t xml:space="preserve"> </w:t>
      </w:r>
      <w:r>
        <w:rPr>
          <w:rStyle w:val="VerbatimChar"/>
        </w:rPr>
        <w:t xml:space="preserve">creation-time</w:t>
      </w:r>
      <w:r>
        <w:t xml:space="preserve"> </w:t>
      </w:r>
      <w:r>
        <w:t xml:space="preserve">in the AMQP transport header.</w:t>
      </w:r>
    </w:p>
    <w:bookmarkEnd w:id="63"/>
    <w:bookmarkStart w:id="65"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5"/>
    <w:bookmarkStart w:id="66"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6"/>
    <w:bookmarkStart w:id="67"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2">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7"/>
    <w:bookmarkEnd w:id="68"/>
    <w:bookmarkStart w:id="70"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69">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0"/>
    <w:bookmarkEnd w:id="71"/>
    <w:bookmarkStart w:id="72"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2"/>
    <w:bookmarkStart w:id="82" w:name="broker-and-client-library-compatibility"/>
    <w:p>
      <w:pPr>
        <w:pStyle w:val="Heading1"/>
      </w:pPr>
      <w:r>
        <w:rPr>
          <w:rStyle w:val="SectionNumber"/>
        </w:rPr>
        <w:t xml:space="preserve">10</w:t>
      </w:r>
      <w:r>
        <w:tab/>
      </w:r>
      <w:r>
        <w:t xml:space="preserve">Broker and Client Library Compatibility</w:t>
      </w:r>
    </w:p>
    <w:bookmarkStart w:id="73"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3"/>
    <w:bookmarkStart w:id="81"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5"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4">
        <w:r>
          <w:rPr>
            <w:rStyle w:val="Hyperlink"/>
          </w:rPr>
          <w:t xml:space="preserve">https://github.com/amqp/rhea</w:t>
        </w:r>
      </w:hyperlink>
      <w:r>
        <w:t xml:space="preserve">.</w:t>
      </w:r>
    </w:p>
    <w:bookmarkEnd w:id="75"/>
    <w:bookmarkStart w:id="77"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76">
        <w:r>
          <w:rPr>
            <w:rStyle w:val="Hyperlink"/>
          </w:rPr>
          <w:t xml:space="preserve">Apache Qpid Proton</w:t>
        </w:r>
      </w:hyperlink>
      <w:r>
        <w:t xml:space="preserve">, this is a mature and well-tested library with full AMQP 1.0 support. Successfully used with ActiveMQ Artemis, RabbitMQ, and other AMQP 1.0 brokers.</w:t>
      </w:r>
    </w:p>
    <w:bookmarkEnd w:id="77"/>
    <w:bookmarkStart w:id="78"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76">
        <w:r>
          <w:rPr>
            <w:rStyle w:val="Hyperlink"/>
          </w:rPr>
          <w:t xml:space="preserve">Apache Qpid Proton</w:t>
        </w:r>
      </w:hyperlink>
      <w:r>
        <w:t xml:space="preserve">, verified to work properly with AMQP 1.0 brokers. Provides a portable C implementation with C++ bindings.</w:t>
      </w:r>
    </w:p>
    <w:bookmarkEnd w:id="78"/>
    <w:bookmarkStart w:id="79"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79"/>
    <w:bookmarkStart w:id="80"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76">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0"/>
    <w:bookmarkEnd w:id="81"/>
    <w:bookmarkEnd w:id="82"/>
    <w:bookmarkStart w:id="86" w:name="amqp-message-examples"/>
    <w:p>
      <w:pPr>
        <w:pStyle w:val="Heading1"/>
      </w:pPr>
      <w:r>
        <w:rPr>
          <w:rStyle w:val="SectionNumber"/>
        </w:rPr>
        <w:t xml:space="preserve">11</w:t>
      </w:r>
      <w:r>
        <w:tab/>
      </w:r>
      <w:r>
        <w:t xml:space="preserve">AMQP Message Examples</w:t>
      </w:r>
    </w:p>
    <w:bookmarkStart w:id="83"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3"/>
    <w:bookmarkStart w:id="84"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4"/>
    <w:bookmarkStart w:id="85"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5"/>
    <w:bookmarkEnd w:id="86"/>
    <w:bookmarkStart w:id="93" w:name="appendices"/>
    <w:p>
      <w:pPr>
        <w:pStyle w:val="Heading1"/>
      </w:pPr>
      <w:r>
        <w:rPr>
          <w:rStyle w:val="SectionNumber"/>
        </w:rPr>
        <w:t xml:space="preserve">12</w:t>
      </w:r>
      <w:r>
        <w:tab/>
      </w:r>
      <w:r>
        <w:t xml:space="preserve">Appendices</w:t>
      </w:r>
    </w:p>
    <w:bookmarkStart w:id="92"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89"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8">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89"/>
    <w:bookmarkStart w:id="90"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90"/>
    <w:bookmarkStart w:id="91" w:name="property-extraction-reference"/>
    <w:p>
      <w:pPr>
        <w:pStyle w:val="Heading3"/>
      </w:pPr>
      <w:r>
        <w:rPr>
          <w:rStyle w:val="SectionNumber"/>
        </w:rPr>
        <w:t xml:space="preserve">12.1.3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2025-08-14T14:04:58Z</dcterms:created>
  <dcterms:modified xsi:type="dcterms:W3CDTF">2025-08-14T14:04:58Z</dcterms:modified>
</cp:coreProperties>
</file>

<file path=docProps/custom.xml><?xml version="1.0" encoding="utf-8"?>
<Properties xmlns="http://schemas.openxmlformats.org/officeDocument/2006/custom-properties" xmlns:vt="http://schemas.openxmlformats.org/officeDocument/2006/docPropsVTypes"/>
</file>