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AMQP Message Structure in MET-SWIM (CP1)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August 2025, the AMQP guidance was split into two parts:</w:t>
      </w:r>
      <w:r>
        <w:t xml:space="preserve"> </w:t>
      </w:r>
      <w:r>
        <w:rPr>
          <w:i/>
          <w:iCs/>
        </w:rPr>
        <w:t xml:space="preserve">CP1</w:t>
      </w:r>
      <w:r>
        <w:t xml:space="preserve"> </w:t>
      </w:r>
      <w:r>
        <w:t xml:space="preserve">and</w:t>
      </w:r>
      <w:r>
        <w:t xml:space="preserve"> </w:t>
      </w:r>
      <w:r>
        <w:rPr>
          <w:i/>
          <w:iCs/>
        </w:rPr>
        <w:t xml:space="preserve">Next</w:t>
      </w:r>
    </w:p>
    <w:p>
      <w:pPr>
        <w:pStyle w:val="Compact"/>
        <w:numPr>
          <w:ilvl w:val="0"/>
          <w:numId w:val="1001"/>
        </w:numPr>
      </w:pPr>
      <w:r>
        <w:t xml:space="preserve">The original working copy of this document is maintained in Markdown syntax:</w:t>
      </w:r>
      <w:r>
        <w:t xml:space="preserve"> </w:t>
      </w:r>
      <w:hyperlink r:id="rId9">
        <w:r>
          <w:rPr>
            <w:rStyle w:val="Hyperlink"/>
          </w:rPr>
          <w:t xml:space="preserve">MET-SWIM-AMQP-Guidance-CP1.md</w:t>
        </w:r>
      </w:hyperlink>
      <w:r>
        <w:t xml:space="preserve">.</w:t>
      </w:r>
    </w:p>
    <w:p>
      <w:pPr>
        <w:pStyle w:val="Compact"/>
        <w:numPr>
          <w:ilvl w:val="0"/>
          <w:numId w:val="1001"/>
        </w:numPr>
      </w:pPr>
      <w:r>
        <w:t xml:space="preserve">Properties that go beyond the CP1 MET-SWIM Service Definitions are maintained separately in</w:t>
      </w:r>
      <w:r>
        <w:t xml:space="preserve"> </w:t>
      </w:r>
      <w:hyperlink r:id="rId10">
        <w:r>
          <w:rPr>
            <w:rStyle w:val="Hyperlink"/>
          </w:rPr>
          <w:t xml:space="preserve">MET-SWIM-AMQP-Guidance-Next.md</w:t>
        </w:r>
      </w:hyperlink>
      <w:r>
        <w:t xml:space="preserve">.</w:t>
      </w:r>
    </w:p>
    <w:p>
      <w:pPr>
        <w:pStyle w:val="Compact"/>
        <w:numPr>
          <w:ilvl w:val="0"/>
          <w:numId w:val="1001"/>
        </w:numPr>
      </w:pPr>
      <w:r>
        <w:t xml:space="preserve">The .docx version is generated using Pandoc, specifically the “vscode-pandoc” extension for the Microsoft Visual Studio Code, or the Cursor editor.</w:t>
      </w:r>
    </w:p>
    <w:p>
      <w:pPr>
        <w:pStyle w:val="FirstParagraph"/>
      </w:pPr>
      <w:r>
        <w:t xml:space="preserve">Members of the EUROCONTROL MET3SG Task Team on Service Architecture can submit pull requests towards the Markdown documents or comment on the .DOCX version on MET3SG SharePoint.</w:t>
      </w:r>
    </w:p>
    <w:bookmarkStart w:id="20" w:name="version-history"/>
    <w:p>
      <w:pPr>
        <w:pStyle w:val="Heading1"/>
      </w:pPr>
      <w:r>
        <w:rPr>
          <w:rStyle w:val="SectionNumber"/>
        </w:rPr>
        <w:t xml:space="preserve">1</w:t>
      </w:r>
      <w:r>
        <w:tab/>
      </w:r>
      <w:r>
        <w:t xml:space="preserve">Version History</w:t>
      </w:r>
    </w:p>
    <w:bookmarkStart w:id="11" w:name="draft1-2025-06"/>
    <w:p>
      <w:pPr>
        <w:pStyle w:val="Heading2"/>
      </w:pPr>
      <w:r>
        <w:rPr>
          <w:rStyle w:val="SectionNumber"/>
        </w:rPr>
        <w:t xml:space="preserve">1.1</w:t>
      </w:r>
      <w:r>
        <w:tab/>
      </w:r>
      <w:r>
        <w:t xml:space="preserve">1.0-draft1 (2025-06)</w:t>
      </w:r>
    </w:p>
    <w:p>
      <w:pPr>
        <w:pStyle w:val="FirstParagraph"/>
      </w:pPr>
      <w:r>
        <w:t xml:space="preserve">Initial draft for collecting feedback.</w:t>
      </w:r>
    </w:p>
    <w:bookmarkEnd w:id="11"/>
    <w:bookmarkStart w:id="12" w:name="draft2-2025-08-14"/>
    <w:p>
      <w:pPr>
        <w:pStyle w:val="Heading2"/>
      </w:pPr>
      <w:r>
        <w:rPr>
          <w:rStyle w:val="SectionNumber"/>
        </w:rPr>
        <w:t xml:space="preserve">1.2</w:t>
      </w:r>
      <w:r>
        <w:tab/>
      </w:r>
      <w:r>
        <w:t xml:space="preserve">1.0-draft2 (2025-08-14)</w:t>
      </w:r>
    </w:p>
    <w:p>
      <w:pPr>
        <w:pStyle w:val="Compact"/>
        <w:numPr>
          <w:ilvl w:val="0"/>
          <w:numId w:val="1002"/>
        </w:numPr>
      </w:pPr>
      <w:r>
        <w:t xml:space="preserve">Separated into guidance for CP1 (this document), and a</w:t>
      </w:r>
      <w:r>
        <w:t xml:space="preserve"> </w:t>
      </w:r>
      <w:r>
        <w:t xml:space="preserve">“Next”</w:t>
      </w:r>
      <w:r>
        <w:t xml:space="preserve"> </w:t>
      </w:r>
      <w:r>
        <w:t xml:space="preserve">document that contains the preparations for further extensions beyond CP1.</w:t>
      </w:r>
    </w:p>
    <w:p>
      <w:pPr>
        <w:pStyle w:val="Compact"/>
        <w:numPr>
          <w:ilvl w:val="0"/>
          <w:numId w:val="1002"/>
        </w:numPr>
      </w:pPr>
      <w:r>
        <w:t xml:space="preserve">Removed content not directly relevant for CP1:</w:t>
      </w:r>
    </w:p>
    <w:p>
      <w:pPr>
        <w:pStyle w:val="Compact"/>
        <w:numPr>
          <w:ilvl w:val="1"/>
          <w:numId w:val="1003"/>
        </w:numPr>
      </w:pPr>
      <w:r>
        <w:t xml:space="preserve">External URL links for download of alternative formats (IWXXM will be passed in the message payload)</w:t>
      </w:r>
    </w:p>
    <w:p>
      <w:pPr>
        <w:pStyle w:val="Compact"/>
        <w:numPr>
          <w:ilvl w:val="1"/>
          <w:numId w:val="1003"/>
        </w:numPr>
      </w:pPr>
      <w:r>
        <w:t xml:space="preserve">Content type</w:t>
      </w:r>
      <w:r>
        <w:t xml:space="preserve"> </w:t>
      </w:r>
      <w:r>
        <w:rPr>
          <w:rStyle w:val="VerbatimChar"/>
        </w:rPr>
        <w:t xml:space="preserve">application/url-list</w:t>
      </w:r>
    </w:p>
    <w:p>
      <w:pPr>
        <w:pStyle w:val="Compact"/>
        <w:numPr>
          <w:ilvl w:val="1"/>
          <w:numId w:val="1003"/>
        </w:numPr>
      </w:pPr>
      <w:r>
        <w:t xml:space="preserve">Geometry properties (aerodrome coordinates, SIGMET bounding boxes)</w:t>
      </w:r>
    </w:p>
    <w:p>
      <w:pPr>
        <w:pStyle w:val="Compact"/>
        <w:numPr>
          <w:ilvl w:val="1"/>
          <w:numId w:val="1003"/>
        </w:numPr>
      </w:pPr>
      <w:r>
        <w:t xml:space="preserve">Payload integrity properties that were based on WIS 2.0 WNM, and SWIM TI Yellow Profile 2.0 mandates the se of S/MIME 4.0 for this purpose.</w:t>
      </w:r>
    </w:p>
    <w:p>
      <w:pPr>
        <w:pStyle w:val="Compact"/>
        <w:numPr>
          <w:ilvl w:val="1"/>
          <w:numId w:val="1003"/>
        </w:numPr>
      </w:pPr>
      <w:r>
        <w:t xml:space="preserve">Technical messages</w:t>
      </w:r>
    </w:p>
    <w:p>
      <w:pPr>
        <w:pStyle w:val="Compact"/>
        <w:numPr>
          <w:ilvl w:val="0"/>
          <w:numId w:val="1002"/>
        </w:numPr>
      </w:pPr>
      <w:r>
        <w:t xml:space="preserve">The only way to send IWXXM is now embedding the data in the AMQP message payload with the content type</w:t>
      </w:r>
      <w:r>
        <w:t xml:space="preserve"> </w:t>
      </w:r>
      <w:r>
        <w:rPr>
          <w:rStyle w:val="VerbatimChar"/>
        </w:rPr>
        <w:t xml:space="preserve">application/xml</w:t>
      </w:r>
      <w:r>
        <w:t xml:space="preserve">. All mentions of</w:t>
      </w:r>
      <w:r>
        <w:t xml:space="preserve"> </w:t>
      </w:r>
      <w:r>
        <w:rPr>
          <w:rStyle w:val="VerbatimChar"/>
        </w:rPr>
        <w:t xml:space="preserve">links</w:t>
      </w:r>
      <w:r>
        <w:t xml:space="preserve"> </w:t>
      </w:r>
      <w:r>
        <w:t xml:space="preserve">and</w:t>
      </w:r>
      <w:r>
        <w:t xml:space="preserve"> </w:t>
      </w:r>
      <w:r>
        <w:rPr>
          <w:rStyle w:val="VerbatimChar"/>
        </w:rPr>
        <w:t xml:space="preserve">url-list</w:t>
      </w:r>
      <w:r>
        <w:t xml:space="preserve"> </w:t>
      </w:r>
      <w:r>
        <w:t xml:space="preserve">have been removed.</w:t>
      </w:r>
    </w:p>
    <w:p>
      <w:pPr>
        <w:pStyle w:val="Compact"/>
        <w:numPr>
          <w:ilvl w:val="0"/>
          <w:numId w:val="1002"/>
        </w:numPr>
      </w:pPr>
      <w:r>
        <w:t xml:space="preserve">Discarded</w:t>
      </w:r>
      <w:r>
        <w:t xml:space="preserve"> </w:t>
      </w:r>
      <w:r>
        <w:rPr>
          <w:rStyle w:val="VerbatimChar"/>
        </w:rPr>
        <w:t xml:space="preserve">subject</w:t>
      </w:r>
      <w:r>
        <w:t xml:space="preserve"> </w:t>
      </w:r>
      <w:r>
        <w:t xml:space="preserve">strings of type</w:t>
      </w:r>
      <w:r>
        <w:t xml:space="preserve"> </w:t>
      </w:r>
      <w:r>
        <w:rPr>
          <w:rStyle w:val="VerbatimChar"/>
        </w:rPr>
        <w:t xml:space="preserve">DATA_METAR_LOWS_CORRECTION_2025040106450</w:t>
      </w:r>
      <w:r>
        <w:t xml:space="preserve"> </w:t>
      </w:r>
      <w:r>
        <w:t xml:space="preserve">because they create duplicity to the AMQP application properties, which are a much better filtering mechanism compared to application of wildcard patterns to a subject string (suggestion by Dario di Crescenzo).</w:t>
      </w:r>
    </w:p>
    <w:p>
      <w:pPr>
        <w:pStyle w:val="Compact"/>
        <w:numPr>
          <w:ilvl w:val="0"/>
          <w:numId w:val="1002"/>
        </w:numPr>
      </w:pPr>
      <w:r>
        <w:t xml:space="preserve">The</w:t>
      </w:r>
      <w:r>
        <w:t xml:space="preserve"> </w:t>
      </w:r>
      <w:r>
        <w:t xml:space="preserve">“subject”</w:t>
      </w:r>
      <w:r>
        <w:t xml:space="preserve"> </w:t>
      </w:r>
      <w:r>
        <w:t xml:space="preserve">string now contains</w:t>
      </w:r>
      <w:r>
        <w:t xml:space="preserve"> </w:t>
      </w:r>
      <w:r>
        <w:rPr>
          <w:rStyle w:val="VerbatimChar"/>
        </w:rPr>
        <w:t xml:space="preserve">aviation.weather.metar</w:t>
      </w:r>
      <w:r>
        <w:t xml:space="preserve">.</w:t>
      </w:r>
    </w:p>
    <w:p>
      <w:pPr>
        <w:pStyle w:val="Compact"/>
        <w:numPr>
          <w:ilvl w:val="0"/>
          <w:numId w:val="1002"/>
        </w:numPr>
      </w:pPr>
      <w:r>
        <w:t xml:space="preserve">Dropped all</w:t>
      </w:r>
      <w:r>
        <w:t xml:space="preserve"> </w:t>
      </w:r>
      <w:r>
        <w:rPr>
          <w:rStyle w:val="VerbatimChar"/>
        </w:rPr>
        <w:t xml:space="preserve">properties.</w:t>
      </w:r>
      <w:r>
        <w:t xml:space="preserve"> </w:t>
      </w:r>
      <w:r>
        <w:t xml:space="preserve">prefixes, e.g. </w:t>
      </w:r>
      <w:r>
        <w:rPr>
          <w:rStyle w:val="VerbatimChar"/>
        </w:rPr>
        <w:t xml:space="preserve">properties.start_datetime</w:t>
      </w:r>
      <w:r>
        <w:t xml:space="preserve">. The</w:t>
      </w:r>
      <w:r>
        <w:t xml:space="preserve"> </w:t>
      </w:r>
      <w:r>
        <w:rPr>
          <w:rStyle w:val="VerbatimChar"/>
        </w:rPr>
        <w:t xml:space="preserve">properties</w:t>
      </w:r>
      <w:r>
        <w:t xml:space="preserve"> </w:t>
      </w:r>
      <w:r>
        <w:t xml:space="preserve">object is used in the WIS 2.0 Notification Message (WNM) standard because the WNM notifications conform to the GeoJSON structure. The GeoJSON specification mandates that all custom properties must be placed in a separate</w:t>
      </w:r>
      <w:r>
        <w:t xml:space="preserve"> </w:t>
      </w:r>
      <w:r>
        <w:rPr>
          <w:rStyle w:val="VerbatimChar"/>
        </w:rPr>
        <w:t xml:space="preserve">properties</w:t>
      </w:r>
      <w:r>
        <w:t xml:space="preserve"> </w:t>
      </w:r>
      <w:r>
        <w:t xml:space="preserve">sub-object. In AMQP, however, the application properties concept is the direct equivalent of the GeoJSON properties - it is a list of application-defined data. So, there is no strict need to use prefixes.</w:t>
      </w:r>
    </w:p>
    <w:p>
      <w:pPr>
        <w:pStyle w:val="Compact"/>
        <w:numPr>
          <w:ilvl w:val="0"/>
          <w:numId w:val="1002"/>
        </w:numPr>
      </w:pPr>
      <w:r>
        <w:t xml:space="preserve">New application property</w:t>
      </w:r>
      <w:r>
        <w:t xml:space="preserve"> </w:t>
      </w:r>
      <w:r>
        <w:rPr>
          <w:rStyle w:val="VerbatimChar"/>
        </w:rPr>
        <w:t xml:space="preserve">properties.report_status</w:t>
      </w:r>
      <w:r>
        <w:t xml:space="preserve"> </w:t>
      </w:r>
      <w:r>
        <w:t xml:space="preserve">with values</w:t>
      </w:r>
      <w:r>
        <w:t xml:space="preserve"> </w:t>
      </w:r>
      <w:r>
        <w:rPr>
          <w:i/>
          <w:iCs/>
        </w:rPr>
        <w:t xml:space="preserve">NORMAL</w:t>
      </w:r>
      <w:r>
        <w:t xml:space="preserve">,</w:t>
      </w:r>
      <w:r>
        <w:t xml:space="preserve"> </w:t>
      </w:r>
      <w:r>
        <w:rPr>
          <w:i/>
          <w:iCs/>
        </w:rPr>
        <w:t xml:space="preserve">AMENDMENT</w:t>
      </w:r>
      <w:r>
        <w:t xml:space="preserve">,</w:t>
      </w:r>
      <w:r>
        <w:t xml:space="preserve"> </w:t>
      </w:r>
      <w:r>
        <w:rPr>
          <w:i/>
          <w:iCs/>
        </w:rPr>
        <w:t xml:space="preserve">CORRECTION</w:t>
      </w:r>
      <w:r>
        <w:t xml:space="preserve">.</w:t>
      </w:r>
    </w:p>
    <w:p>
      <w:pPr>
        <w:pStyle w:val="Compact"/>
        <w:numPr>
          <w:ilvl w:val="0"/>
          <w:numId w:val="1002"/>
        </w:numPr>
      </w:pPr>
      <w:r>
        <w:t xml:space="preserve">The new application property</w:t>
      </w:r>
      <w:r>
        <w:t xml:space="preserve"> </w:t>
      </w:r>
      <w:r>
        <w:rPr>
          <w:rStyle w:val="VerbatimChar"/>
        </w:rPr>
        <w:t xml:space="preserve">issue_datetime</w:t>
      </w:r>
      <w:r>
        <w:t xml:space="preserve"> </w:t>
      </w:r>
      <w:r>
        <w:t xml:space="preserve">replaces the previous</w:t>
      </w:r>
      <w:r>
        <w:t xml:space="preserve"> </w:t>
      </w:r>
      <w:r>
        <w:rPr>
          <w:rStyle w:val="VerbatimChar"/>
        </w:rPr>
        <w:t xml:space="preserve">properties.pubtime</w:t>
      </w:r>
      <w:r>
        <w:t xml:space="preserve">. The publication time in WIS 2.0 WNM is the creation time of the notification message, so using this terminology for METAR, TAF, or SIGMET issue time was incorrect. In AMQP, the direct equivalent of</w:t>
      </w:r>
      <w:r>
        <w:t xml:space="preserve"> </w:t>
      </w:r>
      <w:r>
        <w:rPr>
          <w:rStyle w:val="VerbatimChar"/>
        </w:rPr>
        <w:t xml:space="preserve">properties.pubtime</w:t>
      </w:r>
      <w:r>
        <w:t xml:space="preserve"> </w:t>
      </w:r>
      <w:r>
        <w:t xml:space="preserve">is the AMQP transport header property</w:t>
      </w:r>
      <w:r>
        <w:t xml:space="preserve"> </w:t>
      </w:r>
      <w:r>
        <w:rPr>
          <w:rStyle w:val="VerbatimChar"/>
        </w:rPr>
        <w:t xml:space="preserve">creation-time</w:t>
      </w:r>
      <w:r>
        <w:t xml:space="preserve">.</w:t>
      </w:r>
    </w:p>
    <w:p>
      <w:pPr>
        <w:pStyle w:val="Compact"/>
        <w:numPr>
          <w:ilvl w:val="0"/>
          <w:numId w:val="1002"/>
        </w:numPr>
      </w:pPr>
      <w:r>
        <w:t xml:space="preserve">Added AMQP transport header property</w:t>
      </w:r>
      <w:r>
        <w:t xml:space="preserve"> </w:t>
      </w:r>
      <w:r>
        <w:rPr>
          <w:rStyle w:val="VerbatimChar"/>
        </w:rPr>
        <w:t xml:space="preserve">creation-time</w:t>
      </w:r>
      <w:r>
        <w:t xml:space="preserve">.</w:t>
      </w:r>
    </w:p>
    <w:p>
      <w:pPr>
        <w:pStyle w:val="Compact"/>
        <w:numPr>
          <w:ilvl w:val="0"/>
          <w:numId w:val="1002"/>
        </w:numPr>
      </w:pPr>
      <w:r>
        <w:t xml:space="preserve">Rewritten section on</w:t>
      </w:r>
      <w:r>
        <w:t xml:space="preserve"> </w:t>
      </w:r>
      <w:r>
        <w:rPr>
          <w:rStyle w:val="VerbatimChar"/>
        </w:rPr>
        <w:t xml:space="preserve">absolute-expiry-time</w:t>
      </w:r>
      <w:r>
        <w:t xml:space="preserve">. The original idea of specifying expiration of 3h for METAR, 12h for TAF, 24h for SIGMET was incorrect.</w:t>
      </w:r>
    </w:p>
    <w:p>
      <w:pPr>
        <w:pStyle w:val="Compact"/>
        <w:numPr>
          <w:ilvl w:val="0"/>
          <w:numId w:val="1002"/>
        </w:numPr>
      </w:pPr>
      <w:r>
        <w:t xml:space="preserve">The guidance for the priority field in AMQP transport header just states that certain message types should have higher priorities than others. For example, a TAF AMD should have higher priority than a regular TAF.</w:t>
      </w:r>
    </w:p>
    <w:p>
      <w:pPr>
        <w:pStyle w:val="Compact"/>
        <w:numPr>
          <w:ilvl w:val="0"/>
          <w:numId w:val="1002"/>
        </w:numPr>
      </w:pPr>
      <w:r>
        <w:t xml:space="preserve">Added mention of</w:t>
      </w:r>
      <w:r>
        <w:t xml:space="preserve"> </w:t>
      </w:r>
      <w:r>
        <w:rPr>
          <w:i/>
          <w:iCs/>
        </w:rPr>
        <w:t xml:space="preserve">AMQP Messaging with Message Security</w:t>
      </w:r>
      <w:r>
        <w:t xml:space="preserve"> </w:t>
      </w:r>
      <w:r>
        <w:t xml:space="preserve">using S/MIME 4.0 as defined in SWIM TI Yellow Profile 2.0, but without further implementation guidance. This section needs to be fleshed out.</w:t>
      </w:r>
    </w:p>
    <w:bookmarkEnd w:id="12"/>
    <w:bookmarkStart w:id="13" w:name="draft3-2025-08-20"/>
    <w:p>
      <w:pPr>
        <w:pStyle w:val="Heading2"/>
      </w:pPr>
      <w:r>
        <w:rPr>
          <w:rStyle w:val="SectionNumber"/>
        </w:rPr>
        <w:t xml:space="preserve">1.3</w:t>
      </w:r>
      <w:r>
        <w:tab/>
      </w:r>
      <w:r>
        <w:t xml:space="preserve">1.0-draft3 (2025-08-20)</w:t>
      </w:r>
    </w:p>
    <w:p>
      <w:pPr>
        <w:pStyle w:val="Compact"/>
        <w:numPr>
          <w:ilvl w:val="0"/>
          <w:numId w:val="1004"/>
        </w:numPr>
      </w:pPr>
      <w:r>
        <w:t xml:space="preserve">Renamed</w:t>
      </w:r>
      <w:r>
        <w:t xml:space="preserve"> </w:t>
      </w:r>
      <w:r>
        <w:rPr>
          <w:rStyle w:val="VerbatimChar"/>
        </w:rPr>
        <w:t xml:space="preserve">issue_time</w:t>
      </w:r>
      <w:r>
        <w:t xml:space="preserve"> </w:t>
      </w:r>
      <w:r>
        <w:t xml:space="preserve">to</w:t>
      </w:r>
      <w:r>
        <w:t xml:space="preserve"> </w:t>
      </w:r>
      <w:r>
        <w:rPr>
          <w:rStyle w:val="VerbatimChar"/>
        </w:rPr>
        <w:t xml:space="preserve">issue_datetime</w:t>
      </w:r>
      <w:r>
        <w:t xml:space="preserve"> </w:t>
      </w:r>
      <w:r>
        <w:t xml:space="preserve">for consistency with other temporal application properties.</w:t>
      </w:r>
    </w:p>
    <w:p>
      <w:pPr>
        <w:pStyle w:val="Compact"/>
        <w:numPr>
          <w:ilvl w:val="0"/>
          <w:numId w:val="1004"/>
        </w:numPr>
      </w:pPr>
      <w:r>
        <w:t xml:space="preserve">Explanation why</w:t>
      </w:r>
      <w:r>
        <w:t xml:space="preserve"> </w:t>
      </w:r>
      <w:r>
        <w:rPr>
          <w:rStyle w:val="VerbatimChar"/>
        </w:rPr>
        <w:t xml:space="preserve">absolute-expiry-time</w:t>
      </w:r>
      <w:r>
        <w:t xml:space="preserve"> </w:t>
      </w:r>
      <w:r>
        <w:t xml:space="preserve">and</w:t>
      </w:r>
      <w:r>
        <w:t xml:space="preserve"> </w:t>
      </w:r>
      <w:r>
        <w:rPr>
          <w:rStyle w:val="VerbatimChar"/>
        </w:rPr>
        <w:t xml:space="preserve">creation-time</w:t>
      </w:r>
      <w:r>
        <w:t xml:space="preserve"> </w:t>
      </w:r>
      <w:r>
        <w:t xml:space="preserve">are handled differently - they are AMQP 1.0 built-in transport headers using the Unix time_t UTC timestamp in milliseconds, and they are not a part of the application headers.</w:t>
      </w:r>
    </w:p>
    <w:p>
      <w:pPr>
        <w:pStyle w:val="Compact"/>
        <w:numPr>
          <w:ilvl w:val="0"/>
          <w:numId w:val="1004"/>
        </w:numPr>
      </w:pPr>
      <w:r>
        <w:rPr>
          <w:rStyle w:val="VerbatimChar"/>
        </w:rPr>
        <w:t xml:space="preserve">properties.icao_location_type</w:t>
      </w:r>
      <w:r>
        <w:t xml:space="preserve"> </w:t>
      </w:r>
      <w:r>
        <w:t xml:space="preserve">turned from</w:t>
      </w:r>
      <w:r>
        <w:t xml:space="preserve"> </w:t>
      </w:r>
      <w:r>
        <w:rPr>
          <w:i/>
          <w:iCs/>
        </w:rPr>
        <w:t xml:space="preserve">mandatory</w:t>
      </w:r>
      <w:r>
        <w:t xml:space="preserve"> </w:t>
      </w:r>
      <w:r>
        <w:t xml:space="preserve">to</w:t>
      </w:r>
      <w:r>
        <w:t xml:space="preserve"> </w:t>
      </w:r>
      <w:r>
        <w:rPr>
          <w:i/>
          <w:iCs/>
        </w:rPr>
        <w:t xml:space="preserve">optional</w:t>
      </w:r>
      <w:r>
        <w:t xml:space="preserve">, to be included only when disambiguation is needed. Explained motivation using</w:t>
      </w:r>
      <w:r>
        <w:t xml:space="preserve"> </w:t>
      </w:r>
      <w:r>
        <w:rPr>
          <w:rStyle w:val="VerbatimChar"/>
        </w:rPr>
        <w:t xml:space="preserve">LECB BARCELONA FIR</w:t>
      </w:r>
      <w:r>
        <w:t xml:space="preserve"> </w:t>
      </w:r>
      <w:r>
        <w:t xml:space="preserve">vs. </w:t>
      </w:r>
      <w:r>
        <w:rPr>
          <w:rStyle w:val="VerbatimChar"/>
        </w:rPr>
        <w:t xml:space="preserve">BARCELONA UIR</w:t>
      </w:r>
      <w:r>
        <w:t xml:space="preserve">.</w:t>
      </w:r>
    </w:p>
    <w:p>
      <w:pPr>
        <w:pStyle w:val="Compact"/>
        <w:numPr>
          <w:ilvl w:val="0"/>
          <w:numId w:val="1004"/>
        </w:numPr>
      </w:pPr>
      <w:r>
        <w:t xml:space="preserve">Removed references to IWXXM 2.1, because the guidance related to property extraction does not work for versions older than IWXXM 3.0 (year 2018). IWXXM 3.0 significantly changed structure of IWXXM and abandoned the use of OM (Observation Model) schema.</w:t>
      </w:r>
    </w:p>
    <w:bookmarkEnd w:id="13"/>
    <w:bookmarkStart w:id="19" w:name="draft4-2025-08-21"/>
    <w:p>
      <w:pPr>
        <w:pStyle w:val="Heading2"/>
      </w:pPr>
      <w:r>
        <w:rPr>
          <w:rStyle w:val="SectionNumber"/>
        </w:rPr>
        <w:t xml:space="preserve">1.4</w:t>
      </w:r>
      <w:r>
        <w:tab/>
      </w:r>
      <w:r>
        <w:t xml:space="preserve">1.0-draft4 (2025-08-21)</w:t>
      </w:r>
    </w:p>
    <w:p>
      <w:pPr>
        <w:pStyle w:val="FirstParagraph"/>
      </w:pPr>
      <w:r>
        <w:t xml:space="preserve">Rolled back the abandonment of</w:t>
      </w:r>
      <w:r>
        <w:t xml:space="preserve"> </w:t>
      </w:r>
      <w:r>
        <w:rPr>
          <w:rStyle w:val="VerbatimChar"/>
        </w:rPr>
        <w:t xml:space="preserve">properties.&lt;name&gt;</w:t>
      </w:r>
      <w:r>
        <w:t xml:space="preserve"> </w:t>
      </w:r>
      <w:r>
        <w:t xml:space="preserve">prefixes for application properties. This is based on a discussion with Tom Kralidis (Meteorological Service of Canada,</w:t>
      </w:r>
      <w:r>
        <w:t xml:space="preserve"> </w:t>
      </w:r>
      <w:hyperlink r:id="rId14">
        <w:r>
          <w:rPr>
            <w:rStyle w:val="Hyperlink"/>
          </w:rPr>
          <w:t xml:space="preserve">https://github.com/tomkralidis</w:t>
        </w:r>
      </w:hyperlink>
      <w:r>
        <w:t xml:space="preserve">) who is the original author of the WIS 2.0 Notification Messages structure (WNM):</w:t>
      </w:r>
    </w:p>
    <w:p>
      <w:pPr>
        <w:pStyle w:val="Compact"/>
        <w:numPr>
          <w:ilvl w:val="0"/>
          <w:numId w:val="1005"/>
        </w:numPr>
      </w:pPr>
      <w:r>
        <w:t xml:space="preserve">I the</w:t>
      </w:r>
      <w:r>
        <w:t xml:space="preserve"> </w:t>
      </w:r>
      <w:r>
        <w:rPr>
          <w:b/>
          <w:bCs/>
        </w:rPr>
        <w:t xml:space="preserve">“-Next”</w:t>
      </w:r>
      <w:r>
        <w:t xml:space="preserve"> </w:t>
      </w:r>
      <w:r>
        <w:t xml:space="preserve">proposals (beyond CP1) we have</w:t>
      </w:r>
      <w:r>
        <w:t xml:space="preserve"> </w:t>
      </w:r>
      <w:r>
        <w:rPr>
          <w:rStyle w:val="VerbatimChar"/>
        </w:rPr>
        <w:t xml:space="preserve">geometry</w:t>
      </w:r>
      <w:r>
        <w:t xml:space="preserve"> </w:t>
      </w:r>
      <w:r>
        <w:t xml:space="preserve">and</w:t>
      </w:r>
      <w:r>
        <w:t xml:space="preserve"> </w:t>
      </w:r>
      <w:r>
        <w:rPr>
          <w:rStyle w:val="VerbatimChar"/>
        </w:rPr>
        <w:t xml:space="preserve">links</w:t>
      </w:r>
      <w:r>
        <w:t xml:space="preserve"> </w:t>
      </w:r>
      <w:r>
        <w:t xml:space="preserve">prefixes, so leaving out the</w:t>
      </w:r>
      <w:r>
        <w:t xml:space="preserve"> </w:t>
      </w:r>
      <w:r>
        <w:rPr>
          <w:rStyle w:val="VerbatimChar"/>
        </w:rPr>
        <w:t xml:space="preserve">property</w:t>
      </w:r>
      <w:r>
        <w:t xml:space="preserve"> </w:t>
      </w:r>
      <w:r>
        <w:t xml:space="preserve">prefix creates inconsistency with the JSON structure of the WNM messages we take inspiration from.</w:t>
      </w:r>
    </w:p>
    <w:p>
      <w:pPr>
        <w:pStyle w:val="Compact"/>
        <w:numPr>
          <w:ilvl w:val="0"/>
          <w:numId w:val="1005"/>
        </w:numPr>
      </w:pPr>
      <w:r>
        <w:t xml:space="preserve">Using the</w:t>
      </w:r>
      <w:r>
        <w:t xml:space="preserve"> </w:t>
      </w:r>
      <w:r>
        <w:rPr>
          <w:rStyle w:val="VerbatimChar"/>
        </w:rPr>
        <w:t xml:space="preserve">property.&lt;name&gt;</w:t>
      </w:r>
      <w:r>
        <w:t xml:space="preserve"> </w:t>
      </w:r>
      <w:r>
        <w:t xml:space="preserve">prefixes allows for easier interoperability between WIS 2.0 and MET-SWIM.</w:t>
      </w:r>
    </w:p>
    <w:p>
      <w:pPr>
        <w:pStyle w:val="Compact"/>
        <w:numPr>
          <w:ilvl w:val="0"/>
          <w:numId w:val="1005"/>
        </w:numPr>
      </w:pPr>
      <w:r>
        <w:t xml:space="preserve">The WNM structure is based on</w:t>
      </w:r>
      <w:r>
        <w:t xml:space="preserve"> </w:t>
      </w:r>
      <w:hyperlink r:id="rId15">
        <w:r>
          <w:rPr>
            <w:rStyle w:val="Hyperlink"/>
          </w:rPr>
          <w:t xml:space="preserve">STAC (SpatioTemporal Assets Catalogs)</w:t>
        </w:r>
      </w:hyperlink>
      <w:r>
        <w:t xml:space="preserve"> </w:t>
      </w:r>
      <w:r>
        <w:t xml:space="preserve">specification.</w:t>
      </w:r>
    </w:p>
    <w:p>
      <w:pPr>
        <w:pStyle w:val="Compact"/>
        <w:numPr>
          <w:ilvl w:val="0"/>
          <w:numId w:val="1005"/>
        </w:numPr>
      </w:pPr>
      <w:r>
        <w:t xml:space="preserve">The JSON structure of WNM notification metadata is based on</w:t>
      </w:r>
      <w:r>
        <w:t xml:space="preserve"> </w:t>
      </w:r>
      <w:hyperlink r:id="rId16">
        <w:r>
          <w:rPr>
            <w:rStyle w:val="Hyperlink"/>
          </w:rPr>
          <w:t xml:space="preserve">STAC Items</w:t>
        </w:r>
      </w:hyperlink>
      <w:r>
        <w:t xml:space="preserve">. STAC was created to introduce a standardised way of exposing collections of spatial temporal data, setting up some base guidelines to insure better interoperability (and searching in catalogues).</w:t>
      </w:r>
    </w:p>
    <w:p>
      <w:pPr>
        <w:pStyle w:val="Compact"/>
        <w:numPr>
          <w:ilvl w:val="0"/>
          <w:numId w:val="1005"/>
        </w:numPr>
      </w:pPr>
      <w:r>
        <w:t xml:space="preserve">The STAC Item specification originated the</w:t>
      </w:r>
      <w:r>
        <w:t xml:space="preserve"> </w:t>
      </w:r>
      <w:hyperlink r:id="rId17">
        <w:r>
          <w:rPr>
            <w:rStyle w:val="Hyperlink"/>
          </w:rPr>
          <w:t xml:space="preserve">datetime</w:t>
        </w:r>
      </w:hyperlink>
      <w:r>
        <w:t xml:space="preserve">,</w:t>
      </w:r>
      <w:r>
        <w:t xml:space="preserve"> </w:t>
      </w:r>
      <w:hyperlink r:id="rId18">
        <w:r>
          <w:rPr>
            <w:rStyle w:val="Hyperlink"/>
          </w:rPr>
          <w:t xml:space="preserve">start_datetime</w:t>
        </w:r>
      </w:hyperlink>
      <w:r>
        <w:t xml:space="preserve"> </w:t>
      </w:r>
      <w:r>
        <w:t xml:space="preserve">(and</w:t>
      </w:r>
      <w:r>
        <w:t xml:space="preserve"> </w:t>
      </w:r>
      <w:r>
        <w:rPr>
          <w:rStyle w:val="VerbatimChar"/>
        </w:rPr>
        <w:t xml:space="preserve">end_datetime</w:t>
      </w:r>
      <w:r>
        <w:t xml:space="preserve">) terminology.</w:t>
      </w:r>
    </w:p>
    <w:bookmarkEnd w:id="19"/>
    <w:bookmarkEnd w:id="20"/>
    <w:bookmarkStart w:id="27" w:name="introduction"/>
    <w:p>
      <w:pPr>
        <w:pStyle w:val="Heading1"/>
      </w:pPr>
      <w:r>
        <w:rPr>
          <w:rStyle w:val="SectionNumber"/>
        </w:rPr>
        <w:t xml:space="preserve">2</w:t>
      </w:r>
      <w:r>
        <w:tab/>
      </w:r>
      <w:r>
        <w:t xml:space="preserve">Introduction</w:t>
      </w:r>
    </w:p>
    <w:p>
      <w:pPr>
        <w:pStyle w:val="FirstParagraph"/>
      </w:pPr>
      <w:r>
        <w:t xml:space="preserve">This document defines the message structure and properties for AMQP 1.0 messages used in the MET-SWIM (Meteorological System Wide Information Management) implementation of the European Union Common Project Regulation (CP1). It provides guidance for developers and organisations implementing meteorological OPMET data distribution using AMQP 1.0 protocol in line with the SWIM Service definitions.</w:t>
      </w:r>
    </w:p>
    <w:p>
      <w:pPr>
        <w:pStyle w:val="BodyText"/>
      </w:pPr>
      <w:r>
        <w:t xml:space="preserve">The guidance is maintained by the EUROCONTROL MET3SG Task Team on Service Architecture.</w:t>
      </w:r>
    </w:p>
    <w:bookmarkStart w:id="21" w:name="objectives"/>
    <w:p>
      <w:pPr>
        <w:pStyle w:val="Heading2"/>
      </w:pPr>
      <w:r>
        <w:rPr>
          <w:rStyle w:val="SectionNumber"/>
        </w:rPr>
        <w:t xml:space="preserve">2.1</w:t>
      </w:r>
      <w:r>
        <w:tab/>
      </w:r>
      <w:r>
        <w:t xml:space="preserve">Objectives</w:t>
      </w:r>
    </w:p>
    <w:p>
      <w:pPr>
        <w:pStyle w:val="Compact"/>
        <w:numPr>
          <w:ilvl w:val="0"/>
          <w:numId w:val="1006"/>
        </w:numPr>
      </w:pPr>
      <w:r>
        <w:t xml:space="preserve">Ensure interoperability between different MET-SWIM implementations</w:t>
      </w:r>
    </w:p>
    <w:p>
      <w:pPr>
        <w:pStyle w:val="Compact"/>
        <w:numPr>
          <w:ilvl w:val="0"/>
          <w:numId w:val="1006"/>
        </w:numPr>
      </w:pPr>
      <w:r>
        <w:t xml:space="preserve">Standardise AMQP message properties for meteorological data exchange</w:t>
      </w:r>
    </w:p>
    <w:p>
      <w:pPr>
        <w:pStyle w:val="Compact"/>
        <w:numPr>
          <w:ilvl w:val="0"/>
          <w:numId w:val="1006"/>
        </w:numPr>
      </w:pPr>
      <w:r>
        <w:t xml:space="preserve">Enable efficient filtering of messages</w:t>
      </w:r>
    </w:p>
    <w:p>
      <w:pPr>
        <w:pStyle w:val="Compact"/>
        <w:numPr>
          <w:ilvl w:val="0"/>
          <w:numId w:val="1006"/>
        </w:numPr>
      </w:pPr>
      <w:r>
        <w:t xml:space="preserve">Enable routing of messages to downstream systems based on typical information like report type or aerodrome/FIR code.</w:t>
      </w:r>
    </w:p>
    <w:p>
      <w:pPr>
        <w:pStyle w:val="Compact"/>
        <w:numPr>
          <w:ilvl w:val="0"/>
          <w:numId w:val="1006"/>
        </w:numPr>
      </w:pPr>
      <w:r>
        <w:t xml:space="preserve">Provide forward compatibility for future meteorological data types beyond CP1</w:t>
      </w:r>
    </w:p>
    <w:bookmarkEnd w:id="21"/>
    <w:bookmarkStart w:id="22" w:name="scope-for-cp1"/>
    <w:p>
      <w:pPr>
        <w:pStyle w:val="Heading2"/>
      </w:pPr>
      <w:r>
        <w:rPr>
          <w:rStyle w:val="SectionNumber"/>
        </w:rPr>
        <w:t xml:space="preserve">2.2</w:t>
      </w:r>
      <w:r>
        <w:tab/>
      </w:r>
      <w:r>
        <w:t xml:space="preserve">Scope (for CP1)</w:t>
      </w:r>
    </w:p>
    <w:p>
      <w:pPr>
        <w:pStyle w:val="FirstParagraph"/>
      </w:pPr>
      <w:r>
        <w:t xml:space="preserve">This specification currently covers the following meteorological report types that are covered by CP1 SWIM Service Definitions in IWXXM format:</w:t>
      </w:r>
    </w:p>
    <w:p>
      <w:pPr>
        <w:pStyle w:val="Compact"/>
        <w:numPr>
          <w:ilvl w:val="0"/>
          <w:numId w:val="1007"/>
        </w:numPr>
      </w:pPr>
      <w:r>
        <w:t xml:space="preserve">METAR</w:t>
      </w:r>
    </w:p>
    <w:p>
      <w:pPr>
        <w:pStyle w:val="Compact"/>
        <w:numPr>
          <w:ilvl w:val="0"/>
          <w:numId w:val="1007"/>
        </w:numPr>
      </w:pPr>
      <w:r>
        <w:t xml:space="preserve">SPECI</w:t>
      </w:r>
    </w:p>
    <w:p>
      <w:pPr>
        <w:pStyle w:val="Compact"/>
        <w:numPr>
          <w:ilvl w:val="0"/>
          <w:numId w:val="1007"/>
        </w:numPr>
      </w:pPr>
      <w:r>
        <w:t xml:space="preserve">TAF</w:t>
      </w:r>
    </w:p>
    <w:p>
      <w:pPr>
        <w:pStyle w:val="Compact"/>
        <w:numPr>
          <w:ilvl w:val="0"/>
          <w:numId w:val="1007"/>
        </w:numPr>
      </w:pPr>
      <w:r>
        <w:t xml:space="preserve">SIGMET</w:t>
      </w:r>
    </w:p>
    <w:bookmarkEnd w:id="22"/>
    <w:bookmarkStart w:id="25" w:name="Xf5f4da4249c24f823781c872f654179bf90e0b7"/>
    <w:p>
      <w:pPr>
        <w:pStyle w:val="Heading2"/>
      </w:pPr>
      <w:r>
        <w:rPr>
          <w:rStyle w:val="SectionNumber"/>
        </w:rPr>
        <w:t xml:space="preserve">2.3</w:t>
      </w:r>
      <w:r>
        <w:tab/>
      </w:r>
      <w:r>
        <w:t xml:space="preserve">WMO WIS 2.0 Notification Messages Relationship</w:t>
      </w:r>
    </w:p>
    <w:p>
      <w:pPr>
        <w:pStyle w:val="FirstParagraph"/>
      </w:pPr>
      <w:r>
        <w:t xml:space="preserve">This specification takes inspiration from the</w:t>
      </w:r>
      <w:r>
        <w:t xml:space="preserve"> </w:t>
      </w:r>
      <w:hyperlink r:id="rId23">
        <w:r>
          <w:rPr>
            <w:rStyle w:val="Hyperlink"/>
          </w:rPr>
          <w:t xml:space="preserve">WMO WIS 2.0 Notification Message Standard</w:t>
        </w:r>
      </w:hyperlink>
      <w:r>
        <w:t xml:space="preserve"> </w:t>
      </w:r>
      <w:r>
        <w:t xml:space="preserve">while being tailored to the AMQP property syntax and specific requirements of MET-SWIM and the aviation meteorological community.</w:t>
      </w:r>
    </w:p>
    <w:p>
      <w:pPr>
        <w:pStyle w:val="BodyText"/>
      </w:pPr>
      <w:r>
        <w:t xml:space="preserve">The WNM notification specification also guided the design of the notification messages in</w:t>
      </w:r>
      <w:r>
        <w:t xml:space="preserve"> </w:t>
      </w:r>
      <w:hyperlink r:id="rId24">
        <w:r>
          <w:rPr>
            <w:rStyle w:val="Hyperlink"/>
          </w:rPr>
          <w:t xml:space="preserve">OGC API - Environmental Data Retrieval (EDR) Part 2: Publish-Subscribe workflow</w:t>
        </w:r>
      </w:hyperlink>
      <w:r>
        <w:t xml:space="preserve">, which is used, for example, by the UK Met Office’s QVA API (Quantitative Volcanic Ash) and is planned to be used by the SADIS API.</w:t>
      </w:r>
    </w:p>
    <w:p>
      <w:pPr>
        <w:pStyle w:val="BodyText"/>
      </w:pPr>
      <w:r>
        <w:t xml:space="preserve">The notification metadata in WNM and OGC EDR publish/subscribe is in turn based on</w:t>
      </w:r>
      <w:r>
        <w:t xml:space="preserve"> </w:t>
      </w:r>
      <w:hyperlink r:id="rId15">
        <w:r>
          <w:rPr>
            <w:rStyle w:val="Hyperlink"/>
          </w:rPr>
          <w:t xml:space="preserve">STAC (SpatioTemporal Assets Catalogs)</w:t>
        </w:r>
      </w:hyperlink>
      <w:r>
        <w:t xml:space="preserve"> </w:t>
      </w:r>
      <w:r>
        <w:t xml:space="preserve">specification. The JSON structure and property terminology is based on so-called</w:t>
      </w:r>
      <w:r>
        <w:t xml:space="preserve"> </w:t>
      </w:r>
      <w:hyperlink r:id="rId16">
        <w:r>
          <w:rPr>
            <w:rStyle w:val="Hyperlink"/>
          </w:rPr>
          <w:t xml:space="preserve">STAC Items</w:t>
        </w:r>
      </w:hyperlink>
      <w:r>
        <w:t xml:space="preserve">.</w:t>
      </w:r>
    </w:p>
    <w:bookmarkEnd w:id="25"/>
    <w:bookmarkStart w:id="26" w:name="authors"/>
    <w:p>
      <w:pPr>
        <w:pStyle w:val="Heading2"/>
      </w:pPr>
      <w:r>
        <w:rPr>
          <w:rStyle w:val="SectionNumber"/>
        </w:rPr>
        <w:t xml:space="preserve">2.4</w:t>
      </w:r>
      <w:r>
        <w:tab/>
      </w:r>
      <w:r>
        <w:t xml:space="preserve">Authors</w:t>
      </w:r>
    </w:p>
    <w:p>
      <w:pPr>
        <w:pStyle w:val="FirstParagraph"/>
      </w:pPr>
      <w:r>
        <w:t xml:space="preserve">Editors:</w:t>
      </w:r>
    </w:p>
    <w:p>
      <w:pPr>
        <w:pStyle w:val="Compact"/>
        <w:numPr>
          <w:ilvl w:val="0"/>
          <w:numId w:val="1008"/>
        </w:numPr>
      </w:pPr>
      <w:r>
        <w:t xml:space="preserve">Boris Burger (IBL)</w:t>
      </w:r>
    </w:p>
    <w:p>
      <w:pPr>
        <w:pStyle w:val="FirstParagraph"/>
      </w:pPr>
      <w:r>
        <w:t xml:space="preserve">Contributions and feedback:</w:t>
      </w:r>
    </w:p>
    <w:p>
      <w:pPr>
        <w:pStyle w:val="Compact"/>
        <w:numPr>
          <w:ilvl w:val="0"/>
          <w:numId w:val="1009"/>
        </w:numPr>
      </w:pPr>
      <w:r>
        <w:t xml:space="preserve">Michal Weis (IBL)</w:t>
      </w:r>
    </w:p>
    <w:p>
      <w:pPr>
        <w:pStyle w:val="Compact"/>
        <w:numPr>
          <w:ilvl w:val="0"/>
          <w:numId w:val="1009"/>
        </w:numPr>
      </w:pPr>
      <w:r>
        <w:t xml:space="preserve">Dario di Crescenzo (EUROCONTROL)</w:t>
      </w:r>
    </w:p>
    <w:p>
      <w:pPr>
        <w:pStyle w:val="Compact"/>
        <w:numPr>
          <w:ilvl w:val="0"/>
          <w:numId w:val="1009"/>
        </w:numPr>
      </w:pPr>
      <w:r>
        <w:t xml:space="preserve">Michael Pichler (Austro Control)</w:t>
      </w:r>
    </w:p>
    <w:p>
      <w:pPr>
        <w:pStyle w:val="Compact"/>
        <w:numPr>
          <w:ilvl w:val="0"/>
          <w:numId w:val="1009"/>
        </w:numPr>
      </w:pPr>
      <w:r>
        <w:t xml:space="preserve">Tiaan Wessels (Netsys)</w:t>
      </w:r>
    </w:p>
    <w:p>
      <w:pPr>
        <w:pStyle w:val="Compact"/>
        <w:numPr>
          <w:ilvl w:val="0"/>
          <w:numId w:val="1009"/>
        </w:numPr>
      </w:pPr>
      <w:r>
        <w:t xml:space="preserve">Jürgen Schulze (met.no)</w:t>
      </w:r>
    </w:p>
    <w:p>
      <w:pPr>
        <w:pStyle w:val="Compact"/>
        <w:numPr>
          <w:ilvl w:val="0"/>
          <w:numId w:val="1009"/>
        </w:numPr>
      </w:pPr>
      <w:r>
        <w:t xml:space="preserve">Florian Dobener (DWD)</w:t>
      </w:r>
    </w:p>
    <w:bookmarkEnd w:id="26"/>
    <w:bookmarkEnd w:id="27"/>
    <w:bookmarkStart w:id="38" w:name="references"/>
    <w:p>
      <w:pPr>
        <w:pStyle w:val="Heading1"/>
      </w:pPr>
      <w:r>
        <w:rPr>
          <w:rStyle w:val="SectionNumber"/>
        </w:rPr>
        <w:t xml:space="preserve">3</w:t>
      </w:r>
      <w:r>
        <w:tab/>
      </w:r>
      <w:r>
        <w:t xml:space="preserve">References</w:t>
      </w:r>
    </w:p>
    <w:p>
      <w:pPr>
        <w:pStyle w:val="Compact"/>
        <w:numPr>
          <w:ilvl w:val="0"/>
          <w:numId w:val="1010"/>
        </w:numPr>
      </w:pPr>
      <w:hyperlink r:id="rId28">
        <w:r>
          <w:rPr>
            <w:rStyle w:val="Hyperlink"/>
          </w:rPr>
          <w:t xml:space="preserve">EU Common Project Regulation (CP1)</w:t>
        </w:r>
      </w:hyperlink>
    </w:p>
    <w:p>
      <w:pPr>
        <w:pStyle w:val="Compact"/>
        <w:numPr>
          <w:ilvl w:val="0"/>
          <w:numId w:val="1010"/>
        </w:numPr>
      </w:pPr>
      <w:hyperlink r:id="rId29">
        <w:r>
          <w:rPr>
            <w:rStyle w:val="Hyperlink"/>
          </w:rPr>
          <w:t xml:space="preserve">IWXXM METAR-SPECI Subscription and Request Service 1.0</w:t>
        </w:r>
      </w:hyperlink>
    </w:p>
    <w:p>
      <w:pPr>
        <w:pStyle w:val="Compact"/>
        <w:numPr>
          <w:ilvl w:val="0"/>
          <w:numId w:val="1010"/>
        </w:numPr>
      </w:pPr>
      <w:hyperlink r:id="rId30">
        <w:r>
          <w:rPr>
            <w:rStyle w:val="Hyperlink"/>
          </w:rPr>
          <w:t xml:space="preserve">IWXXM SIGMET Subscription and Request Service 1.0</w:t>
        </w:r>
      </w:hyperlink>
    </w:p>
    <w:p>
      <w:pPr>
        <w:pStyle w:val="Compact"/>
        <w:numPr>
          <w:ilvl w:val="0"/>
          <w:numId w:val="1010"/>
        </w:numPr>
      </w:pPr>
      <w:hyperlink r:id="rId31">
        <w:r>
          <w:rPr>
            <w:rStyle w:val="Hyperlink"/>
          </w:rPr>
          <w:t xml:space="preserve">IWXXM TAF Subscription and Request Service 1.0</w:t>
        </w:r>
      </w:hyperlink>
    </w:p>
    <w:p>
      <w:pPr>
        <w:pStyle w:val="Compact"/>
        <w:numPr>
          <w:ilvl w:val="0"/>
          <w:numId w:val="1010"/>
        </w:numPr>
      </w:pPr>
      <w:hyperlink r:id="rId32">
        <w:r>
          <w:rPr>
            <w:rStyle w:val="Hyperlink"/>
          </w:rPr>
          <w:t xml:space="preserve">OASIS AMQP 1.0 Specification, Part 3: Messaging</w:t>
        </w:r>
      </w:hyperlink>
    </w:p>
    <w:p>
      <w:pPr>
        <w:pStyle w:val="Compact"/>
        <w:numPr>
          <w:ilvl w:val="0"/>
          <w:numId w:val="1010"/>
        </w:numPr>
      </w:pPr>
      <w:hyperlink r:id="rId33">
        <w:r>
          <w:rPr>
            <w:rStyle w:val="Hyperlink"/>
          </w:rPr>
          <w:t xml:space="preserve">OGC API - Environmental Data Retrieval (EDR)</w:t>
        </w:r>
      </w:hyperlink>
    </w:p>
    <w:p>
      <w:pPr>
        <w:pStyle w:val="Compact"/>
        <w:numPr>
          <w:ilvl w:val="0"/>
          <w:numId w:val="1010"/>
        </w:numPr>
      </w:pPr>
      <w:hyperlink r:id="rId24">
        <w:r>
          <w:rPr>
            <w:rStyle w:val="Hyperlink"/>
          </w:rPr>
          <w:t xml:space="preserve">OGC API - Environmental Data Retrieval (EDR) Part 2: Publish-Subscribe workflow</w:t>
        </w:r>
      </w:hyperlink>
    </w:p>
    <w:p>
      <w:pPr>
        <w:pStyle w:val="Compact"/>
        <w:numPr>
          <w:ilvl w:val="0"/>
          <w:numId w:val="1010"/>
        </w:numPr>
      </w:pPr>
      <w:hyperlink r:id="rId34">
        <w:r>
          <w:rPr>
            <w:rStyle w:val="Hyperlink"/>
          </w:rPr>
          <w:t xml:space="preserve">AMQP Filter Expressions 1.0</w:t>
        </w:r>
      </w:hyperlink>
    </w:p>
    <w:p>
      <w:pPr>
        <w:pStyle w:val="Compact"/>
        <w:numPr>
          <w:ilvl w:val="0"/>
          <w:numId w:val="1010"/>
        </w:numPr>
      </w:pPr>
      <w:hyperlink r:id="rId35">
        <w:r>
          <w:rPr>
            <w:rStyle w:val="Hyperlink"/>
          </w:rPr>
          <w:t xml:space="preserve">WMO WIS 2.0 Overview</w:t>
        </w:r>
      </w:hyperlink>
    </w:p>
    <w:p>
      <w:pPr>
        <w:pStyle w:val="Compact"/>
        <w:numPr>
          <w:ilvl w:val="0"/>
          <w:numId w:val="1010"/>
        </w:numPr>
      </w:pPr>
      <w:hyperlink r:id="rId23">
        <w:r>
          <w:rPr>
            <w:rStyle w:val="Hyperlink"/>
          </w:rPr>
          <w:t xml:space="preserve">WMO WIS 2.0 Notification Message Standard</w:t>
        </w:r>
      </w:hyperlink>
    </w:p>
    <w:p>
      <w:pPr>
        <w:pStyle w:val="Compact"/>
        <w:numPr>
          <w:ilvl w:val="0"/>
          <w:numId w:val="1010"/>
        </w:numPr>
      </w:pPr>
      <w:hyperlink r:id="rId15">
        <w:r>
          <w:rPr>
            <w:rStyle w:val="Hyperlink"/>
          </w:rPr>
          <w:t xml:space="preserve">STAC (SpatioTemporal Assets Catalogs)</w:t>
        </w:r>
      </w:hyperlink>
    </w:p>
    <w:p>
      <w:pPr>
        <w:pStyle w:val="Compact"/>
        <w:numPr>
          <w:ilvl w:val="0"/>
          <w:numId w:val="1010"/>
        </w:numPr>
      </w:pPr>
      <w:hyperlink r:id="rId16">
        <w:r>
          <w:rPr>
            <w:rStyle w:val="Hyperlink"/>
          </w:rPr>
          <w:t xml:space="preserve">STAC Item</w:t>
        </w:r>
      </w:hyperlink>
    </w:p>
    <w:p>
      <w:pPr>
        <w:pStyle w:val="Compact"/>
        <w:numPr>
          <w:ilvl w:val="0"/>
          <w:numId w:val="1010"/>
        </w:numPr>
      </w:pPr>
      <w:hyperlink r:id="rId36">
        <w:r>
          <w:rPr>
            <w:rStyle w:val="Hyperlink"/>
          </w:rPr>
          <w:t xml:space="preserve">RFC 3339 - Date and Time on the Internet</w:t>
        </w:r>
      </w:hyperlink>
    </w:p>
    <w:p>
      <w:pPr>
        <w:pStyle w:val="Compact"/>
        <w:numPr>
          <w:ilvl w:val="0"/>
          <w:numId w:val="1010"/>
        </w:numPr>
      </w:pPr>
      <w:hyperlink r:id="rId37">
        <w:r>
          <w:rPr>
            <w:rStyle w:val="Hyperlink"/>
          </w:rPr>
          <w:t xml:space="preserve">ICAO Annex 3 - Meteorological Service for International Air Navigation</w:t>
        </w:r>
      </w:hyperlink>
    </w:p>
    <w:bookmarkEnd w:id="38"/>
    <w:bookmarkStart w:id="39" w:name="amqp-1.0-message-structure"/>
    <w:p>
      <w:pPr>
        <w:pStyle w:val="Heading1"/>
      </w:pPr>
      <w:r>
        <w:rPr>
          <w:rStyle w:val="SectionNumber"/>
        </w:rPr>
        <w:t xml:space="preserve">4</w:t>
      </w:r>
      <w:r>
        <w:tab/>
      </w:r>
      <w:r>
        <w:t xml:space="preserve">AMQP 1.0 Message Structure</w:t>
      </w:r>
    </w:p>
    <w:p>
      <w:pPr>
        <w:pStyle w:val="FirstParagraph"/>
      </w:pPr>
      <w:r>
        <w:t xml:space="preserve">An AMQP message in the MET-SWIM context consists of the following components:</w:t>
      </w:r>
    </w:p>
    <w:p>
      <w:pPr>
        <w:pStyle w:val="Compact"/>
        <w:numPr>
          <w:ilvl w:val="0"/>
          <w:numId w:val="1011"/>
        </w:numPr>
      </w:pPr>
      <w:r>
        <w:rPr>
          <w:b/>
          <w:bCs/>
        </w:rPr>
        <w:t xml:space="preserve">Message Addressing</w:t>
      </w:r>
      <w:r>
        <w:t xml:space="preserve"> </w:t>
      </w:r>
      <w:r>
        <w:t xml:space="preserve">- Destination address using a hierarchical structure</w:t>
      </w:r>
    </w:p>
    <w:p>
      <w:pPr>
        <w:pStyle w:val="Compact"/>
        <w:numPr>
          <w:ilvl w:val="0"/>
          <w:numId w:val="1011"/>
        </w:numPr>
      </w:pPr>
      <w:r>
        <w:rPr>
          <w:b/>
          <w:bCs/>
        </w:rPr>
        <w:t xml:space="preserve">Message Transport Header</w:t>
      </w:r>
      <w:r>
        <w:t xml:space="preserve"> </w:t>
      </w:r>
      <w:r>
        <w:t xml:space="preserve">- Priority settings, expiration.</w:t>
      </w:r>
    </w:p>
    <w:p>
      <w:pPr>
        <w:pStyle w:val="Compact"/>
        <w:numPr>
          <w:ilvl w:val="0"/>
          <w:numId w:val="1011"/>
        </w:numPr>
      </w:pPr>
      <w:r>
        <w:rPr>
          <w:b/>
          <w:bCs/>
        </w:rPr>
        <w:t xml:space="preserve">Message Properties</w:t>
      </w:r>
      <w:r>
        <w:t xml:space="preserve"> </w:t>
      </w:r>
      <w:r>
        <w:t xml:space="preserve">- Standard AMQP properties including subject, content-type, etc.</w:t>
      </w:r>
    </w:p>
    <w:p>
      <w:pPr>
        <w:pStyle w:val="Compact"/>
        <w:numPr>
          <w:ilvl w:val="0"/>
          <w:numId w:val="1011"/>
        </w:numPr>
      </w:pPr>
      <w:r>
        <w:rPr>
          <w:b/>
          <w:bCs/>
        </w:rPr>
        <w:t xml:space="preserve">Application Properties</w:t>
      </w:r>
      <w:r>
        <w:t xml:space="preserve"> </w:t>
      </w:r>
      <w:r>
        <w:t xml:space="preserve">- Custom properties for meteorological data identification and filtering</w:t>
      </w:r>
    </w:p>
    <w:p>
      <w:pPr>
        <w:pStyle w:val="Compact"/>
        <w:numPr>
          <w:ilvl w:val="0"/>
          <w:numId w:val="1011"/>
        </w:numPr>
      </w:pPr>
      <w:r>
        <w:rPr>
          <w:b/>
          <w:bCs/>
        </w:rPr>
        <w:t xml:space="preserve">Message Payload</w:t>
      </w:r>
      <w:r>
        <w:t xml:space="preserve"> </w:t>
      </w:r>
      <w:r>
        <w:t xml:space="preserve">- The actual data (IWXXM XML).</w:t>
      </w:r>
    </w:p>
    <w:bookmarkEnd w:id="39"/>
    <w:bookmarkStart w:id="48" w:name="message-addressing"/>
    <w:p>
      <w:pPr>
        <w:pStyle w:val="Heading1"/>
      </w:pPr>
      <w:r>
        <w:rPr>
          <w:rStyle w:val="SectionNumber"/>
        </w:rPr>
        <w:t xml:space="preserve">5</w:t>
      </w:r>
      <w:r>
        <w:tab/>
      </w:r>
      <w:r>
        <w:t xml:space="preserve">Message Addressing</w:t>
      </w:r>
    </w:p>
    <w:bookmarkStart w:id="41" w:name="address-structure"/>
    <w:p>
      <w:pPr>
        <w:pStyle w:val="Heading2"/>
      </w:pPr>
      <w:r>
        <w:rPr>
          <w:rStyle w:val="SectionNumber"/>
        </w:rPr>
        <w:t xml:space="preserve">5.1</w:t>
      </w:r>
      <w:r>
        <w:tab/>
      </w:r>
      <w:r>
        <w:t xml:space="preserve">Address Structure</w:t>
      </w:r>
    </w:p>
    <w:p>
      <w:pPr>
        <w:pStyle w:val="FirstParagraph"/>
      </w:pPr>
      <w:r>
        <w:t xml:space="preserve">MET-SWIM uses a simplified three-level hierarchical structure for message addresses, inspired by the</w:t>
      </w:r>
      <w:r>
        <w:t xml:space="preserve"> </w:t>
      </w:r>
      <w:hyperlink r:id="rId40">
        <w:r>
          <w:rPr>
            <w:rStyle w:val="Hyperlink"/>
          </w:rPr>
          <w:t xml:space="preserve">WIS 2 Topic Hierarchy</w:t>
        </w:r>
      </w:hyperlink>
      <w:r>
        <w:t xml:space="preserve">.</w:t>
      </w:r>
    </w:p>
    <w:p>
      <w:pPr>
        <w:pStyle w:val="BodyText"/>
      </w:pPr>
      <w:r>
        <w:t xml:space="preserve">For meteorological data, the address structure is:</w:t>
      </w:r>
    </w:p>
    <w:p>
      <w:pPr>
        <w:pStyle w:val="SourceCode"/>
      </w:pPr>
      <w:r>
        <w:rPr>
          <w:rStyle w:val="VerbatimChar"/>
        </w:rPr>
        <w:t xml:space="preserve">weather.aviation.&lt;report-type&gt;</w:t>
      </w:r>
    </w:p>
    <w:p>
      <w:pPr>
        <w:pStyle w:val="FirstParagraph"/>
      </w:pPr>
      <w:r>
        <w:t xml:space="preserve">Where</w:t>
      </w:r>
      <w:r>
        <w:t xml:space="preserve"> </w:t>
      </w:r>
      <w:r>
        <w:rPr>
          <w:rStyle w:val="VerbatimChar"/>
        </w:rPr>
        <w:t xml:space="preserve">&lt;report-type&gt;</w:t>
      </w:r>
      <w:r>
        <w:t xml:space="preserve"> </w:t>
      </w:r>
      <w:r>
        <w:t xml:space="preserve">is one of:</w:t>
      </w:r>
    </w:p>
    <w:p>
      <w:pPr>
        <w:pStyle w:val="Compact"/>
        <w:numPr>
          <w:ilvl w:val="0"/>
          <w:numId w:val="1012"/>
        </w:numPr>
      </w:pPr>
      <w:r>
        <w:rPr>
          <w:rStyle w:val="VerbatimChar"/>
        </w:rPr>
        <w:t xml:space="preserve">metar</w:t>
      </w:r>
      <w:r>
        <w:t xml:space="preserve"> </w:t>
      </w:r>
      <w:r>
        <w:t xml:space="preserve">- for METAR and SPECI reports</w:t>
      </w:r>
    </w:p>
    <w:p>
      <w:pPr>
        <w:pStyle w:val="Compact"/>
        <w:numPr>
          <w:ilvl w:val="0"/>
          <w:numId w:val="1012"/>
        </w:numPr>
      </w:pPr>
      <w:r>
        <w:rPr>
          <w:rStyle w:val="VerbatimChar"/>
        </w:rPr>
        <w:t xml:space="preserve">taf</w:t>
      </w:r>
      <w:r>
        <w:t xml:space="preserve"> </w:t>
      </w:r>
      <w:r>
        <w:t xml:space="preserve">- for TAF reports</w:t>
      </w:r>
    </w:p>
    <w:p>
      <w:pPr>
        <w:pStyle w:val="Compact"/>
        <w:numPr>
          <w:ilvl w:val="0"/>
          <w:numId w:val="1012"/>
        </w:numPr>
      </w:pPr>
      <w:r>
        <w:rPr>
          <w:rStyle w:val="VerbatimChar"/>
        </w:rPr>
        <w:t xml:space="preserve">sigmet</w:t>
      </w:r>
      <w:r>
        <w:t xml:space="preserve"> </w:t>
      </w:r>
      <w:r>
        <w:t xml:space="preserve">- for SIGMET reports</w:t>
      </w:r>
    </w:p>
    <w:bookmarkEnd w:id="41"/>
    <w:bookmarkStart w:id="42" w:name="examples"/>
    <w:p>
      <w:pPr>
        <w:pStyle w:val="Heading2"/>
      </w:pPr>
      <w:r>
        <w:rPr>
          <w:rStyle w:val="SectionNumber"/>
        </w:rPr>
        <w:t xml:space="preserve">5.2</w:t>
      </w:r>
      <w:r>
        <w:tab/>
      </w:r>
      <w:r>
        <w:t xml:space="preserve">Examples</w:t>
      </w:r>
    </w:p>
    <w:p>
      <w:pPr>
        <w:pStyle w:val="SourceCode"/>
      </w:pPr>
      <w:r>
        <w:rPr>
          <w:rStyle w:val="VerbatimChar"/>
        </w:rPr>
        <w:t xml:space="preserve">weather.aviation.metar</w:t>
      </w:r>
      <w:r>
        <w:br/>
      </w:r>
      <w:r>
        <w:rPr>
          <w:rStyle w:val="VerbatimChar"/>
        </w:rPr>
        <w:t xml:space="preserve">weather.aviation.taf</w:t>
      </w:r>
      <w:r>
        <w:br/>
      </w:r>
      <w:r>
        <w:rPr>
          <w:rStyle w:val="VerbatimChar"/>
        </w:rPr>
        <w:t xml:space="preserve">weather.aviation.sigmet</w:t>
      </w:r>
    </w:p>
    <w:bookmarkEnd w:id="42"/>
    <w:bookmarkStart w:id="47" w:name="wildcard-addresses-in-subscriptions"/>
    <w:p>
      <w:pPr>
        <w:pStyle w:val="Heading2"/>
      </w:pPr>
      <w:r>
        <w:rPr>
          <w:rStyle w:val="SectionNumber"/>
        </w:rPr>
        <w:t xml:space="preserve">5.3</w:t>
      </w:r>
      <w:r>
        <w:tab/>
      </w:r>
      <w:r>
        <w:t xml:space="preserve">Wildcard Addresses in Subscriptions</w:t>
      </w:r>
    </w:p>
    <w:p>
      <w:pPr>
        <w:pStyle w:val="FirstParagraph"/>
      </w:pPr>
      <w:r>
        <w:t xml:space="preserve">Consumers can subscribe using wildcards to receive messages from multiple related addresses only if the AMQP broker supports wildcard functionality.</w:t>
      </w:r>
      <w:r>
        <w:t xml:space="preserve"> </w:t>
      </w:r>
      <w:r>
        <w:rPr>
          <w:b/>
          <w:bCs/>
        </w:rPr>
        <w:t xml:space="preserve">Wildcard support is not part of the AMQP 1.0 specification</w:t>
      </w:r>
      <w:r>
        <w:t xml:space="preserve"> </w:t>
      </w:r>
      <w:r>
        <w:t xml:space="preserve">- it is implemented as a broker-specific extension. Wildcard support is available in the popular AMQP brokers, but is not generally guaranteed.</w:t>
      </w:r>
    </w:p>
    <w:p>
      <w:pPr>
        <w:pStyle w:val="BodyText"/>
      </w:pPr>
      <w:r>
        <w:rPr>
          <w:b/>
          <w:bCs/>
        </w:rPr>
        <w:t xml:space="preserve">Common Wildcard Characters:</w:t>
      </w:r>
    </w:p>
    <w:p>
      <w:pPr>
        <w:pStyle w:val="Compact"/>
        <w:numPr>
          <w:ilvl w:val="0"/>
          <w:numId w:val="1013"/>
        </w:numPr>
      </w:pPr>
      <w:r>
        <w:rPr>
          <w:rStyle w:val="VerbatimChar"/>
        </w:rPr>
        <w:t xml:space="preserve">*</w:t>
      </w:r>
      <w:r>
        <w:t xml:space="preserve"> </w:t>
      </w:r>
      <w:r>
        <w:t xml:space="preserve">- matches exactly one level in the hierarchy</w:t>
      </w:r>
    </w:p>
    <w:p>
      <w:pPr>
        <w:pStyle w:val="Compact"/>
        <w:numPr>
          <w:ilvl w:val="0"/>
          <w:numId w:val="1013"/>
        </w:numPr>
      </w:pPr>
      <w:r>
        <w:rPr>
          <w:rStyle w:val="VerbatimChar"/>
        </w:rPr>
        <w:t xml:space="preserve">#</w:t>
      </w:r>
      <w:r>
        <w:t xml:space="preserve"> </w:t>
      </w:r>
      <w:r>
        <w:t xml:space="preserve">- matches zero or more levels from that point onwards</w:t>
      </w:r>
    </w:p>
    <w:p>
      <w:pPr>
        <w:pStyle w:val="FirstParagraph"/>
      </w:pPr>
      <w:r>
        <w:rPr>
          <w:b/>
          <w:bCs/>
        </w:rPr>
        <w:t xml:space="preserve">Wildcard Examples:</w:t>
      </w:r>
    </w:p>
    <w:p>
      <w:pPr>
        <w:pStyle w:val="SourceCode"/>
      </w:pPr>
      <w:r>
        <w:rPr>
          <w:rStyle w:val="VerbatimChar"/>
        </w:rPr>
        <w:t xml:space="preserve">weather.aviation.*    # Subscribe to all aviation weather types</w:t>
      </w:r>
      <w:r>
        <w:br/>
      </w:r>
      <w:r>
        <w:rPr>
          <w:rStyle w:val="VerbatimChar"/>
        </w:rPr>
        <w:t xml:space="preserve">weather.#             # Subscribe to all weather data</w:t>
      </w:r>
      <w:r>
        <w:br/>
      </w:r>
      <w:r>
        <w:rPr>
          <w:rStyle w:val="VerbatimChar"/>
        </w:rPr>
        <w:t xml:space="preserve">#.metar               # Subscribe to METAR and SPECI</w:t>
      </w:r>
    </w:p>
    <w:bookmarkStart w:id="46" w:name="broker-compatibility"/>
    <w:p>
      <w:pPr>
        <w:pStyle w:val="Heading3"/>
      </w:pPr>
      <w:r>
        <w:rPr>
          <w:rStyle w:val="SectionNumber"/>
        </w:rPr>
        <w:t xml:space="preserve">5.3.1</w:t>
      </w:r>
      <w:r>
        <w:tab/>
      </w:r>
      <w:r>
        <w:t xml:space="preserve">Broker Compatibility</w:t>
      </w:r>
    </w:p>
    <w:p>
      <w:pPr>
        <w:pStyle w:val="FirstParagraph"/>
      </w:pPr>
      <w:r>
        <w:t xml:space="preserve">Different AMQP 1.0 brokers implement wildcard support with varying levels of compatibility:</w:t>
      </w:r>
    </w:p>
    <w:bookmarkStart w:id="43" w:name="apache-activemq-artemis"/>
    <w:p>
      <w:pPr>
        <w:pStyle w:val="Heading4"/>
      </w:pPr>
      <w:r>
        <w:rPr>
          <w:rStyle w:val="SectionNumber"/>
        </w:rPr>
        <w:t xml:space="preserve">5.3.1.1</w:t>
      </w:r>
      <w:r>
        <w:tab/>
      </w:r>
      <w:r>
        <w:t xml:space="preserve">Apache ActiveMQ Artemis</w:t>
      </w:r>
    </w:p>
    <w:p>
      <w:pPr>
        <w:pStyle w:val="Compact"/>
        <w:numPr>
          <w:ilvl w:val="0"/>
          <w:numId w:val="1014"/>
        </w:numPr>
      </w:pPr>
      <w:r>
        <w:t xml:space="preserve">Full wildcard support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characters</w:t>
      </w:r>
    </w:p>
    <w:p>
      <w:pPr>
        <w:pStyle w:val="Compact"/>
        <w:numPr>
          <w:ilvl w:val="0"/>
          <w:numId w:val="1014"/>
        </w:numPr>
      </w:pPr>
      <w:r>
        <w:t xml:space="preserve">Wildcards work with both queues and topics</w:t>
      </w:r>
    </w:p>
    <w:bookmarkEnd w:id="43"/>
    <w:bookmarkStart w:id="44" w:name="apache-qpid-proton"/>
    <w:p>
      <w:pPr>
        <w:pStyle w:val="Heading4"/>
      </w:pPr>
      <w:r>
        <w:rPr>
          <w:rStyle w:val="SectionNumber"/>
        </w:rPr>
        <w:t xml:space="preserve">5.3.1.2</w:t>
      </w:r>
      <w:r>
        <w:tab/>
      </w:r>
      <w:r>
        <w:t xml:space="preserve">Apache Qpid Proton</w:t>
      </w:r>
    </w:p>
    <w:p>
      <w:pPr>
        <w:pStyle w:val="Compact"/>
        <w:numPr>
          <w:ilvl w:val="0"/>
          <w:numId w:val="1015"/>
        </w:numPr>
      </w:pPr>
      <w:r>
        <w:t xml:space="preserve">Supports both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wildcards</w:t>
      </w:r>
    </w:p>
    <w:bookmarkEnd w:id="44"/>
    <w:bookmarkStart w:id="45" w:name="rabbitmq-with-amqp-1.0-plugin"/>
    <w:p>
      <w:pPr>
        <w:pStyle w:val="Heading4"/>
      </w:pPr>
      <w:r>
        <w:rPr>
          <w:rStyle w:val="SectionNumber"/>
        </w:rPr>
        <w:t xml:space="preserve">5.3.1.3</w:t>
      </w:r>
      <w:r>
        <w:tab/>
      </w:r>
      <w:r>
        <w:t xml:space="preserve">RabbitMQ (with AMQP 1.0 plugin)</w:t>
      </w:r>
    </w:p>
    <w:p>
      <w:pPr>
        <w:pStyle w:val="Compact"/>
        <w:numPr>
          <w:ilvl w:val="0"/>
          <w:numId w:val="1016"/>
        </w:numPr>
      </w:pPr>
      <w:r>
        <w:t xml:space="preserve">There is some support for</w:t>
      </w:r>
      <w:r>
        <w:t xml:space="preserve"> </w:t>
      </w:r>
      <w:r>
        <w:rPr>
          <w:rStyle w:val="VerbatimChar"/>
        </w:rPr>
        <w:t xml:space="preserve">*</w:t>
      </w:r>
      <w:r>
        <w:t xml:space="preserve"> </w:t>
      </w:r>
      <w:r>
        <w:t xml:space="preserve">and</w:t>
      </w:r>
      <w:r>
        <w:t xml:space="preserve"> </w:t>
      </w:r>
      <w:r>
        <w:rPr>
          <w:rStyle w:val="VerbatimChar"/>
        </w:rPr>
        <w:t xml:space="preserve">#</w:t>
      </w:r>
    </w:p>
    <w:p>
      <w:pPr>
        <w:pStyle w:val="Compact"/>
        <w:numPr>
          <w:ilvl w:val="0"/>
          <w:numId w:val="1016"/>
        </w:numPr>
      </w:pPr>
      <w:r>
        <w:t xml:space="preserve">RabbitMQ supports wildcards for routing from topic exchanges to queues. It does not, however, allow for automatic creation of queues from a topic. The users would need to create a queue and its binding themselves.</w:t>
      </w:r>
    </w:p>
    <w:bookmarkEnd w:id="45"/>
    <w:bookmarkEnd w:id="46"/>
    <w:bookmarkEnd w:id="47"/>
    <w:bookmarkEnd w:id="48"/>
    <w:bookmarkStart w:id="50" w:name="amqp-transport-header"/>
    <w:p>
      <w:pPr>
        <w:pStyle w:val="Heading1"/>
      </w:pPr>
      <w:r>
        <w:rPr>
          <w:rStyle w:val="SectionNumber"/>
        </w:rPr>
        <w:t xml:space="preserve">6</w:t>
      </w:r>
      <w:r>
        <w:tab/>
      </w:r>
      <w:r>
        <w:t xml:space="preserve">AMQP Transport Header</w:t>
      </w:r>
    </w:p>
    <w:bookmarkStart w:id="49" w:name="priority"/>
    <w:p>
      <w:pPr>
        <w:pStyle w:val="Heading2"/>
      </w:pPr>
      <w:r>
        <w:rPr>
          <w:rStyle w:val="SectionNumber"/>
        </w:rPr>
        <w:t xml:space="preserve">6.1</w:t>
      </w:r>
      <w:r>
        <w:tab/>
      </w:r>
      <w:r>
        <w:t xml:space="preserve">Priority</w:t>
      </w:r>
    </w:p>
    <w:p>
      <w:pPr>
        <w:pStyle w:val="FirstParagraph"/>
      </w:pPr>
      <w:r>
        <w:t xml:space="preserve">The</w:t>
      </w:r>
      <w:r>
        <w:t xml:space="preserve"> </w:t>
      </w:r>
      <w:r>
        <w:rPr>
          <w:rStyle w:val="VerbatimChar"/>
        </w:rPr>
        <w:t xml:space="preserve">priority</w:t>
      </w:r>
      <w:r>
        <w:t xml:space="preserve"> </w:t>
      </w:r>
      <w:r>
        <w:t xml:space="preserve">field (0-9, where 9 is highest) SHALL be set according to the operational importance. For this version of the specification the exact priorities are not defined, however:</w:t>
      </w:r>
    </w:p>
    <w:p>
      <w:pPr>
        <w:pStyle w:val="Compact"/>
        <w:numPr>
          <w:ilvl w:val="0"/>
          <w:numId w:val="1017"/>
        </w:numPr>
      </w:pPr>
      <w:r>
        <w:t xml:space="preserve">SPECI should have higher priority than METAR</w:t>
      </w:r>
    </w:p>
    <w:p>
      <w:pPr>
        <w:pStyle w:val="Compact"/>
        <w:numPr>
          <w:ilvl w:val="0"/>
          <w:numId w:val="1017"/>
        </w:numPr>
      </w:pPr>
      <w:r>
        <w:t xml:space="preserve">TAF amendments should have higher priority than TAF</w:t>
      </w:r>
    </w:p>
    <w:p>
      <w:pPr>
        <w:pStyle w:val="Compact"/>
        <w:numPr>
          <w:ilvl w:val="0"/>
          <w:numId w:val="1017"/>
        </w:numPr>
      </w:pPr>
      <w:r>
        <w:t xml:space="preserve">SIGMET should have the highest priority</w:t>
      </w:r>
    </w:p>
    <w:p>
      <w:pPr>
        <w:pStyle w:val="FirstParagraph"/>
      </w:pPr>
      <w:r>
        <w:t xml:space="preserve">Example priorities: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Report Type</w:t>
            </w:r>
          </w:p>
        </w:tc>
        <w:tc>
          <w:tcPr/>
          <w:p>
            <w:pPr>
              <w:pStyle w:val="Compact"/>
            </w:pPr>
            <w:r>
              <w:t xml:space="preserve">Priority</w:t>
            </w:r>
          </w:p>
        </w:tc>
        <w:tc>
          <w:tcPr/>
          <w:p>
            <w:pPr>
              <w:pStyle w:val="Compact"/>
            </w:pPr>
            <w:r>
              <w:t xml:space="preserve">Rationale</w:t>
            </w:r>
          </w:p>
        </w:tc>
      </w:tr>
      <w:tr>
        <w:tc>
          <w:tcPr/>
          <w:p>
            <w:pPr>
              <w:pStyle w:val="Compact"/>
            </w:pPr>
            <w:r>
              <w:t xml:space="preserve">SIGMET</w:t>
            </w:r>
          </w:p>
        </w:tc>
        <w:tc>
          <w:tcPr/>
          <w:p>
            <w:pPr>
              <w:pStyle w:val="Compact"/>
            </w:pPr>
            <w:r>
              <w:t xml:space="preserve">7</w:t>
            </w:r>
          </w:p>
        </w:tc>
        <w:tc>
          <w:tcPr/>
          <w:p>
            <w:pPr>
              <w:pStyle w:val="Compact"/>
            </w:pPr>
            <w:r>
              <w:t xml:space="preserve">Highest priority for safety-critical information</w:t>
            </w:r>
          </w:p>
        </w:tc>
      </w:tr>
      <w:tr>
        <w:tc>
          <w:tcPr/>
          <w:p>
            <w:pPr>
              <w:pStyle w:val="Compact"/>
            </w:pPr>
            <w:r>
              <w:t xml:space="preserve">SPECI</w:t>
            </w:r>
          </w:p>
        </w:tc>
        <w:tc>
          <w:tcPr/>
          <w:p>
            <w:pPr>
              <w:pStyle w:val="Compact"/>
            </w:pPr>
            <w:r>
              <w:t xml:space="preserve">6</w:t>
            </w:r>
          </w:p>
        </w:tc>
        <w:tc>
          <w:tcPr/>
          <w:p>
            <w:pPr>
              <w:pStyle w:val="Compact"/>
            </w:pPr>
            <w:r>
              <w:t xml:space="preserve">Special reports indicating significant changes</w:t>
            </w:r>
          </w:p>
        </w:tc>
      </w:tr>
      <w:tr>
        <w:tc>
          <w:tcPr/>
          <w:p>
            <w:pPr>
              <w:pStyle w:val="Compact"/>
            </w:pPr>
            <w:r>
              <w:t xml:space="preserve">TAF AMD</w:t>
            </w:r>
          </w:p>
        </w:tc>
        <w:tc>
          <w:tcPr/>
          <w:p>
            <w:pPr>
              <w:pStyle w:val="Compact"/>
            </w:pPr>
            <w:r>
              <w:t xml:space="preserve">6</w:t>
            </w:r>
          </w:p>
        </w:tc>
        <w:tc>
          <w:tcPr/>
          <w:p>
            <w:pPr>
              <w:pStyle w:val="Compact"/>
            </w:pPr>
            <w:r>
              <w:t xml:space="preserve">Significant change to the original forecast</w:t>
            </w:r>
          </w:p>
        </w:tc>
      </w:tr>
      <w:tr>
        <w:tc>
          <w:tcPr/>
          <w:p>
            <w:pPr>
              <w:pStyle w:val="Compact"/>
            </w:pPr>
            <w:r>
              <w:t xml:space="preserve">TAF</w:t>
            </w:r>
          </w:p>
        </w:tc>
        <w:tc>
          <w:tcPr/>
          <w:p>
            <w:pPr>
              <w:pStyle w:val="Compact"/>
            </w:pPr>
            <w:r>
              <w:t xml:space="preserve">5</w:t>
            </w:r>
          </w:p>
        </w:tc>
        <w:tc>
          <w:tcPr/>
          <w:p>
            <w:pPr>
              <w:pStyle w:val="Compact"/>
            </w:pPr>
            <w:r>
              <w:t xml:space="preserve">Forecast information with medium priority</w:t>
            </w:r>
          </w:p>
        </w:tc>
      </w:tr>
      <w:tr>
        <w:tc>
          <w:tcPr/>
          <w:p>
            <w:pPr>
              <w:pStyle w:val="Compact"/>
            </w:pPr>
            <w:r>
              <w:t xml:space="preserve">METAR</w:t>
            </w:r>
          </w:p>
        </w:tc>
        <w:tc>
          <w:tcPr/>
          <w:p>
            <w:pPr>
              <w:pStyle w:val="Compact"/>
            </w:pPr>
            <w:r>
              <w:t xml:space="preserve">4</w:t>
            </w:r>
          </w:p>
        </w:tc>
        <w:tc>
          <w:tcPr/>
          <w:p>
            <w:pPr>
              <w:pStyle w:val="Compact"/>
            </w:pPr>
            <w:r>
              <w:t xml:space="preserve">Routine observations</w:t>
            </w:r>
          </w:p>
        </w:tc>
      </w:tr>
    </w:tbl>
    <w:bookmarkEnd w:id="49"/>
    <w:bookmarkEnd w:id="50"/>
    <w:bookmarkStart w:id="59" w:name="amqp-message-properties"/>
    <w:p>
      <w:pPr>
        <w:pStyle w:val="Heading1"/>
      </w:pPr>
      <w:r>
        <w:rPr>
          <w:rStyle w:val="SectionNumber"/>
        </w:rPr>
        <w:t xml:space="preserve">7</w:t>
      </w:r>
      <w:r>
        <w:tab/>
      </w:r>
      <w:r>
        <w:t xml:space="preserve">AMQP Message Properties</w:t>
      </w:r>
    </w:p>
    <w:p>
      <w:pPr>
        <w:pStyle w:val="FirstParagraph"/>
      </w:pPr>
      <w:r>
        <w:t xml:space="preserve">The subsequent section define the AMQP 1.0 message properties used in MET-SWIM implementations. For detailed technical specifications, refer to the</w:t>
      </w:r>
      <w:r>
        <w:t xml:space="preserve"> </w:t>
      </w:r>
      <w:hyperlink r:id="rId32">
        <w:r>
          <w:rPr>
            <w:rStyle w:val="Hyperlink"/>
          </w:rPr>
          <w:t xml:space="preserve">OASIS AMQP 1.0 Specification, Part 3: Messaging</w:t>
        </w:r>
      </w:hyperlink>
      <w:r>
        <w:t xml:space="preserve">.</w:t>
      </w:r>
    </w:p>
    <w:p>
      <w:pPr>
        <w:pStyle w:val="Compact"/>
        <w:numPr>
          <w:ilvl w:val="0"/>
          <w:numId w:val="1018"/>
        </w:numPr>
      </w:pPr>
      <w:r>
        <w:t xml:space="preserve">The documentation for the AMQP headers specifically is in</w:t>
      </w:r>
      <w:r>
        <w:t xml:space="preserve"> </w:t>
      </w:r>
      <w:hyperlink r:id="rId51">
        <w:r>
          <w:rPr>
            <w:rStyle w:val="Hyperlink"/>
          </w:rPr>
          <w:t xml:space="preserve">OASIS AMQP 1.0 specification, Part 3: Messaging - Section 3.2.5 - Header</w:t>
        </w:r>
      </w:hyperlink>
      <w:r>
        <w:t xml:space="preserve">.</w:t>
      </w:r>
    </w:p>
    <w:p>
      <w:pPr>
        <w:pStyle w:val="Compact"/>
        <w:numPr>
          <w:ilvl w:val="0"/>
          <w:numId w:val="1018"/>
        </w:numPr>
      </w:pPr>
      <w:r>
        <w:t xml:space="preserve">See also</w:t>
      </w:r>
      <w:r>
        <w:t xml:space="preserve"> </w:t>
      </w:r>
      <w:hyperlink r:id="rId52">
        <w:r>
          <w:rPr>
            <w:rStyle w:val="Hyperlink"/>
          </w:rPr>
          <w:t xml:space="preserve">AMQP 1.0 specification, Part 3: Messaging, Section 3.2.6 - Properties</w:t>
        </w:r>
      </w:hyperlink>
      <w:r>
        <w:t xml:space="preserve"> </w:t>
      </w:r>
      <w:r>
        <w:t xml:space="preserve">for more details.</w:t>
      </w:r>
    </w:p>
    <w:bookmarkStart w:id="53" w:name="subject-mandatory"/>
    <w:p>
      <w:pPr>
        <w:pStyle w:val="Heading2"/>
      </w:pPr>
      <w:r>
        <w:rPr>
          <w:rStyle w:val="SectionNumber"/>
        </w:rPr>
        <w:t xml:space="preserve">7.1</w:t>
      </w:r>
      <w:r>
        <w:tab/>
      </w:r>
      <w:r>
        <w:t xml:space="preserve">subject (MANDATORY)</w:t>
      </w:r>
    </w:p>
    <w:p>
      <w:pPr>
        <w:pStyle w:val="FirstParagraph"/>
      </w:pPr>
      <w:r>
        <w:t xml:space="preserve">The</w:t>
      </w:r>
      <w:r>
        <w:t xml:space="preserve"> </w:t>
      </w:r>
      <w:r>
        <w:rPr>
          <w:rStyle w:val="VerbatimChar"/>
        </w:rPr>
        <w:t xml:space="preserve">subject</w:t>
      </w:r>
      <w:r>
        <w:t xml:space="preserve"> </w:t>
      </w:r>
      <w:r>
        <w:t xml:space="preserve">SHALL represent the type of data transmitted, analogously to the WMO WIS 2.0 concept of topics and equal to the</w:t>
      </w:r>
      <w:r>
        <w:t xml:space="preserve"> </w:t>
      </w:r>
      <w:r>
        <w:rPr>
          <w:i/>
          <w:iCs/>
        </w:rPr>
        <w:t xml:space="preserve">source address</w:t>
      </w:r>
      <w:r>
        <w:t xml:space="preserve">. This is useful for disambiguating data when using wildcard source address subscriptions.</w:t>
      </w:r>
    </w:p>
    <w:p>
      <w:pPr>
        <w:pStyle w:val="BodyText"/>
      </w:pPr>
      <w:r>
        <w:t xml:space="preserve">Example:</w:t>
      </w:r>
    </w:p>
    <w:p>
      <w:pPr>
        <w:pStyle w:val="SourceCode"/>
      </w:pPr>
      <w:r>
        <w:rPr>
          <w:rStyle w:val="VerbatimChar"/>
        </w:rPr>
        <w:t xml:space="preserve">weather.aviation.metar</w:t>
      </w:r>
    </w:p>
    <w:p>
      <w:pPr>
        <w:pStyle w:val="FirstParagraph"/>
      </w:pPr>
      <w:r>
        <w:rPr>
          <w:b/>
          <w:bCs/>
        </w:rPr>
        <w:t xml:space="preserve">Note:</w:t>
      </w:r>
      <w:r>
        <w:t xml:space="preserve"> </w:t>
      </w:r>
      <w:r>
        <w:t xml:space="preserve">In earlier versions of this specification, it was proposed that the</w:t>
      </w:r>
      <w:r>
        <w:t xml:space="preserve"> </w:t>
      </w:r>
      <w:r>
        <w:rPr>
          <w:rStyle w:val="VerbatimChar"/>
        </w:rPr>
        <w:t xml:space="preserve">subject</w:t>
      </w:r>
      <w:r>
        <w:t xml:space="preserve"> </w:t>
      </w:r>
      <w:r>
        <w:t xml:space="preserve">string should hold the report type (METAR, SPECI, TAF, SIGMET), aerodrome or airspace ICAO code, issue time of the report, and so on. However, this created a duplicate identification and filtering mechanism competing with the application properties. Application properties, along with the SQL-like filter expressions, are much better suited for filtering purposes compared to wildcard patterns applied to subject strings.</w:t>
      </w:r>
    </w:p>
    <w:bookmarkEnd w:id="53"/>
    <w:bookmarkStart w:id="54" w:name="content-type-mandatory"/>
    <w:p>
      <w:pPr>
        <w:pStyle w:val="Heading2"/>
      </w:pPr>
      <w:r>
        <w:rPr>
          <w:rStyle w:val="SectionNumber"/>
        </w:rPr>
        <w:t xml:space="preserve">7.2</w:t>
      </w:r>
      <w:r>
        <w:tab/>
      </w:r>
      <w:r>
        <w:t xml:space="preserve">content-type (MANDATORY)</w:t>
      </w:r>
    </w:p>
    <w:p>
      <w:pPr>
        <w:pStyle w:val="FirstParagraph"/>
      </w:pPr>
      <w:r>
        <w:t xml:space="preserve">Indicates the MIME type of the payload and SHALL be set to</w:t>
      </w:r>
      <w:r>
        <w:t xml:space="preserve"> </w:t>
      </w:r>
      <w:r>
        <w:rPr>
          <w:rStyle w:val="VerbatimChar"/>
        </w:rPr>
        <w:t xml:space="preserve">application/xml</w:t>
      </w:r>
      <w:r>
        <w:t xml:space="preserve"> </w:t>
      </w:r>
      <w:r>
        <w:t xml:space="preserve">for the IWXXM XML data.</w:t>
      </w:r>
    </w:p>
    <w:bookmarkEnd w:id="54"/>
    <w:bookmarkStart w:id="55" w:name="content-encoding-conditional"/>
    <w:p>
      <w:pPr>
        <w:pStyle w:val="Heading2"/>
      </w:pPr>
      <w:r>
        <w:rPr>
          <w:rStyle w:val="SectionNumber"/>
        </w:rPr>
        <w:t xml:space="preserve">7.3</w:t>
      </w:r>
      <w:r>
        <w:tab/>
      </w:r>
      <w:r>
        <w:t xml:space="preserve">content-encoding (CONDITIONAL)</w:t>
      </w:r>
    </w:p>
    <w:p>
      <w:pPr>
        <w:pStyle w:val="FirstParagraph"/>
      </w:pPr>
      <w:r>
        <w:t xml:space="preserve">By default, payloads are not compressed, and in this case, the</w:t>
      </w:r>
      <w:r>
        <w:t xml:space="preserve"> </w:t>
      </w:r>
      <w:r>
        <w:rPr>
          <w:rStyle w:val="VerbatimChar"/>
        </w:rPr>
        <w:t xml:space="preserve">content-encoding</w:t>
      </w:r>
      <w:r>
        <w:t xml:space="preserve"> </w:t>
      </w:r>
      <w:r>
        <w:t xml:space="preserve">property can be left out. However, when compression is applied to the payload, the</w:t>
      </w:r>
      <w:r>
        <w:t xml:space="preserve"> </w:t>
      </w:r>
      <w:r>
        <w:rPr>
          <w:rStyle w:val="VerbatimChar"/>
        </w:rPr>
        <w:t xml:space="preserve">content-encoding</w:t>
      </w:r>
      <w:r>
        <w:t xml:space="preserve"> </w:t>
      </w:r>
      <w:r>
        <w:t xml:space="preserve">is mandatory.</w:t>
      </w:r>
    </w:p>
    <w:p>
      <w:pPr>
        <w:pStyle w:val="BodyText"/>
      </w:pPr>
      <w:r>
        <w:t xml:space="preserve">The MET-SWIM service AMQP implementations and clients SHALL support the following content-encodings from [IANA HTTP Content Coding Registry|https://www.iana.org/assignments/http-parameters/http-parameters.xhtml]:</w:t>
      </w:r>
    </w:p>
    <w:p>
      <w:pPr>
        <w:pStyle w:val="Compact"/>
        <w:numPr>
          <w:ilvl w:val="0"/>
          <w:numId w:val="1019"/>
        </w:numPr>
      </w:pPr>
      <w:r>
        <w:rPr>
          <w:rStyle w:val="VerbatimChar"/>
        </w:rPr>
        <w:t xml:space="preserve">gzip</w:t>
      </w:r>
      <w:r>
        <w:t xml:space="preserve"> </w:t>
      </w:r>
      <w:r>
        <w:t xml:space="preserve">- for compressed data. This is the most widely supported compressed</w:t>
      </w:r>
      <w:r>
        <w:t xml:space="preserve"> </w:t>
      </w:r>
      <w:r>
        <w:rPr>
          <w:rStyle w:val="VerbatimChar"/>
        </w:rPr>
        <w:t xml:space="preserve">content-encoding</w:t>
      </w:r>
      <w:r>
        <w:t xml:space="preserve"> </w:t>
      </w:r>
      <w:r>
        <w:t xml:space="preserve">in HTTP.</w:t>
      </w:r>
    </w:p>
    <w:p>
      <w:pPr>
        <w:pStyle w:val="Compact"/>
        <w:numPr>
          <w:ilvl w:val="0"/>
          <w:numId w:val="1019"/>
        </w:numPr>
      </w:pPr>
      <w:r>
        <w:rPr>
          <w:rStyle w:val="VerbatimChar"/>
        </w:rPr>
        <w:t xml:space="preserve">identity</w:t>
      </w:r>
      <w:r>
        <w:t xml:space="preserve"> </w:t>
      </w:r>
      <w:r>
        <w:t xml:space="preserve">- for uncompressed data (default if omitted).</w:t>
      </w:r>
    </w:p>
    <w:bookmarkEnd w:id="55"/>
    <w:bookmarkStart w:id="57" w:name="absolute-expiry-time-optional"/>
    <w:p>
      <w:pPr>
        <w:pStyle w:val="Heading2"/>
      </w:pPr>
      <w:r>
        <w:rPr>
          <w:rStyle w:val="SectionNumber"/>
        </w:rPr>
        <w:t xml:space="preserve">7.4</w:t>
      </w:r>
      <w:r>
        <w:tab/>
      </w:r>
      <w:r>
        <w:t xml:space="preserve">absolute-expiry-time (OPTIONAL)</w:t>
      </w:r>
    </w:p>
    <w:p>
      <w:pPr>
        <w:pStyle w:val="FirstParagraph"/>
      </w:pPr>
      <w:r>
        <w:t xml:space="preserve">Unix-like UTC timestamp in milliseconds, indicating when the message should expire in the broker and from the durable queues. Please see also the definition of the</w:t>
      </w:r>
      <w:r>
        <w:t xml:space="preserve"> </w:t>
      </w:r>
      <w:hyperlink r:id="rId56">
        <w:r>
          <w:rPr>
            <w:rStyle w:val="Hyperlink"/>
          </w:rPr>
          <w:t xml:space="preserve">timestamp</w:t>
        </w:r>
      </w:hyperlink>
      <w:r>
        <w:t xml:space="preserve">) type in the AMQP specification:</w:t>
      </w:r>
    </w:p>
    <w:p>
      <w:pPr>
        <w:pStyle w:val="BlockText"/>
      </w:pPr>
      <w:r>
        <w:t xml:space="preserve">Represents an approximate point in time using the Unix time_t [IEEE1003] encoding of UTC, but with a precision of milliseconds. For example, 1311704463521 represents the moment 2011-07-26T18:21:03.521Z</w:t>
      </w:r>
    </w:p>
    <w:p>
      <w:pPr>
        <w:pStyle w:val="FirstParagraph"/>
      </w:pPr>
      <w:r>
        <w:t xml:space="preserve">The</w:t>
      </w:r>
      <w:r>
        <w:t xml:space="preserve"> </w:t>
      </w:r>
      <w:r>
        <w:rPr>
          <w:rStyle w:val="VerbatimChar"/>
        </w:rPr>
        <w:t xml:space="preserve">absolute-expiry-time</w:t>
      </w:r>
      <w:r>
        <w:t xml:space="preserve"> </w:t>
      </w:r>
      <w:r>
        <w:t xml:space="preserve">tells the broker when it should discard a message. On the other hand, the</w:t>
      </w:r>
      <w:r>
        <w:t xml:space="preserve"> </w:t>
      </w:r>
      <w:r>
        <w:rPr>
          <w:rStyle w:val="VerbatimChar"/>
        </w:rPr>
        <w:t xml:space="preserve">ttl</w:t>
      </w:r>
      <w:r>
        <w:t xml:space="preserve"> </w:t>
      </w:r>
      <w:r>
        <w:t xml:space="preserve">field in the AMQP transport header (relative number in milliseconds) is typically calculated using a difference between the</w:t>
      </w:r>
      <w:r>
        <w:t xml:space="preserve"> </w:t>
      </w:r>
      <w:r>
        <w:rPr>
          <w:rStyle w:val="VerbatimChar"/>
        </w:rPr>
        <w:t xml:space="preserve">absolute-expiry-time</w:t>
      </w:r>
      <w:r>
        <w:t xml:space="preserve"> </w:t>
      </w:r>
      <w:r>
        <w:t xml:space="preserve">and the time when the message was created. The</w:t>
      </w:r>
      <w:r>
        <w:t xml:space="preserve"> </w:t>
      </w:r>
      <w:r>
        <w:rPr>
          <w:rStyle w:val="VerbatimChar"/>
        </w:rPr>
        <w:t xml:space="preserve">absolute-expiry-time</w:t>
      </w:r>
      <w:r>
        <w:t xml:space="preserve"> </w:t>
      </w:r>
      <w:r>
        <w:t xml:space="preserve">stays constant during the message’s lifetime, whereas</w:t>
      </w:r>
      <w:r>
        <w:t xml:space="preserve"> </w:t>
      </w:r>
      <w:r>
        <w:rPr>
          <w:rStyle w:val="VerbatimChar"/>
        </w:rPr>
        <w:t xml:space="preserve">ttl</w:t>
      </w:r>
      <w:r>
        <w:t xml:space="preserve"> </w:t>
      </w:r>
      <w:r>
        <w:t xml:space="preserve">can be progressively decreased by AMQP intermediaries.</w:t>
      </w:r>
    </w:p>
    <w:p>
      <w:pPr>
        <w:pStyle w:val="BodyText"/>
      </w:pPr>
      <w:r>
        <w:t xml:space="preserve">When</w:t>
      </w:r>
      <w:r>
        <w:t xml:space="preserve"> </w:t>
      </w:r>
      <w:r>
        <w:rPr>
          <w:rStyle w:val="VerbatimChar"/>
        </w:rPr>
        <w:t xml:space="preserve">absolute expiry time</w:t>
      </w:r>
      <w:r>
        <w:t xml:space="preserve"> </w:t>
      </w:r>
      <w:r>
        <w:t xml:space="preserve">is not set, the message will</w:t>
      </w:r>
      <w:r>
        <w:t xml:space="preserve"> </w:t>
      </w:r>
      <w:r>
        <w:t xml:space="preserve">“live”</w:t>
      </w:r>
      <w:r>
        <w:t xml:space="preserve"> </w:t>
      </w:r>
      <w:r>
        <w:t xml:space="preserve">in durable queues until a client receives it. Brokers usually have some pre-configured threshold of maximum</w:t>
      </w:r>
      <w:r>
        <w:t xml:space="preserve"> </w:t>
      </w:r>
      <w:r>
        <w:rPr>
          <w:rStyle w:val="VerbatimChar"/>
        </w:rPr>
        <w:t xml:space="preserve">ttl</w:t>
      </w:r>
      <w:r>
        <w:t xml:space="preserve"> </w:t>
      </w:r>
      <w:r>
        <w:t xml:space="preserve">to avoid resource exhaustion if clients do not pick up messages from durable queues.</w:t>
      </w:r>
    </w:p>
    <w:p>
      <w:pPr>
        <w:pStyle w:val="BodyText"/>
      </w:pPr>
      <w:r>
        <w:t xml:space="preserve">If a MET-SWIM AMQP implementation sets the absolute-expiry-time, it SHOULD set it high enough to:</w:t>
      </w:r>
    </w:p>
    <w:p>
      <w:pPr>
        <w:pStyle w:val="Compact"/>
        <w:numPr>
          <w:ilvl w:val="0"/>
          <w:numId w:val="1020"/>
        </w:numPr>
      </w:pPr>
      <w:r>
        <w:t xml:space="preserve">Give the clients a chance to receive the messages during shorter communication outages or client maintenance periods.</w:t>
      </w:r>
    </w:p>
    <w:p>
      <w:pPr>
        <w:pStyle w:val="Compact"/>
        <w:numPr>
          <w:ilvl w:val="0"/>
          <w:numId w:val="1020"/>
        </w:numPr>
      </w:pPr>
      <w:r>
        <w:t xml:space="preserve">Keep the messages long enough to survive the AMQP server maintenance windows or outages.</w:t>
      </w:r>
    </w:p>
    <w:p>
      <w:pPr>
        <w:pStyle w:val="FirstParagraph"/>
      </w:pPr>
      <w:r>
        <w:rPr>
          <w:b/>
          <w:bCs/>
        </w:rPr>
        <w:t xml:space="preserve">Example:</w:t>
      </w:r>
      <w:r>
        <w:t xml:space="preserve"> </w:t>
      </w:r>
      <w:r>
        <w:t xml:space="preserve">AMQP message creation + 12 hours</w:t>
      </w:r>
    </w:p>
    <w:p>
      <w:pPr>
        <w:pStyle w:val="BodyText"/>
      </w:pPr>
      <w:r>
        <w:t xml:space="preserve">Note: Originally, it was proposed to set the absolute-expiry-time depending on the report type, e.g. 3h for METAR, 12h for TAF, 24h for SIGMET. However, in general, there can be varying purposes for why the client needs to be subscribed to the data:</w:t>
      </w:r>
    </w:p>
    <w:p>
      <w:pPr>
        <w:pStyle w:val="Compact"/>
        <w:numPr>
          <w:ilvl w:val="0"/>
          <w:numId w:val="1021"/>
        </w:numPr>
      </w:pPr>
      <w:r>
        <w:t xml:space="preserve">One client might be interested only in the latest operationally useful data.</w:t>
      </w:r>
    </w:p>
    <w:p>
      <w:pPr>
        <w:pStyle w:val="Compact"/>
        <w:numPr>
          <w:ilvl w:val="0"/>
          <w:numId w:val="1021"/>
        </w:numPr>
      </w:pPr>
      <w:r>
        <w:t xml:space="preserve">Another client might be a climatological database that needs all the reports regardless of age. In this case loosing observations due to a 3h communication outage does not seem reasonable.</w:t>
      </w:r>
    </w:p>
    <w:bookmarkEnd w:id="57"/>
    <w:bookmarkStart w:id="58" w:name="creation-time-optional"/>
    <w:p>
      <w:pPr>
        <w:pStyle w:val="Heading2"/>
      </w:pPr>
      <w:r>
        <w:rPr>
          <w:rStyle w:val="SectionNumber"/>
        </w:rPr>
        <w:t xml:space="preserve">7.5</w:t>
      </w:r>
      <w:r>
        <w:tab/>
      </w:r>
      <w:r>
        <w:t xml:space="preserve">creation-time (OPTIONAL)</w:t>
      </w:r>
    </w:p>
    <w:p>
      <w:pPr>
        <w:pStyle w:val="FirstParagraph"/>
      </w:pPr>
      <w:r>
        <w:t xml:space="preserve">This is the Unix UTC timestamp (in milliseconds since the epoch) indicating when the AMQP message was initially created. It mostly serves an informational purpose in AMQP and is used in the</w:t>
      </w:r>
      <w:r>
        <w:t xml:space="preserve"> </w:t>
      </w:r>
      <w:r>
        <w:rPr>
          <w:rStyle w:val="VerbatimChar"/>
        </w:rPr>
        <w:t xml:space="preserve">ttl</w:t>
      </w:r>
      <w:r>
        <w:t xml:space="preserve"> </w:t>
      </w:r>
      <w:r>
        <w:t xml:space="preserve">calculation in some brokers.</w:t>
      </w:r>
    </w:p>
    <w:bookmarkEnd w:id="58"/>
    <w:bookmarkEnd w:id="59"/>
    <w:bookmarkStart w:id="79" w:name="amqp-application-properties"/>
    <w:p>
      <w:pPr>
        <w:pStyle w:val="Heading1"/>
      </w:pPr>
      <w:r>
        <w:rPr>
          <w:rStyle w:val="SectionNumber"/>
        </w:rPr>
        <w:t xml:space="preserve">8</w:t>
      </w:r>
      <w:r>
        <w:tab/>
      </w:r>
      <w:r>
        <w:t xml:space="preserve">AMQP Application Properties</w:t>
      </w:r>
    </w:p>
    <w:p>
      <w:pPr>
        <w:pStyle w:val="FirstParagraph"/>
      </w:pPr>
      <w:r>
        <w:t xml:space="preserve">The application properties are the most flexible mechanism for identifying the data sent using AMQP and enabling server-side filtering using</w:t>
      </w:r>
      <w:r>
        <w:t xml:space="preserve"> </w:t>
      </w:r>
      <w:hyperlink r:id="rId34">
        <w:r>
          <w:rPr>
            <w:rStyle w:val="Hyperlink"/>
          </w:rPr>
          <w:t xml:space="preserve">AMQP Filter Expressions 1.0</w:t>
        </w:r>
      </w:hyperlink>
      <w:r>
        <w:t xml:space="preserve">. The AMQP specification does not regulate</w:t>
      </w:r>
      <w:r>
        <w:t xml:space="preserve"> </w:t>
      </w:r>
      <w:hyperlink r:id="rId60">
        <w:r>
          <w:rPr>
            <w:rStyle w:val="Hyperlink"/>
          </w:rPr>
          <w:t xml:space="preserve">AMQP application property</w:t>
        </w:r>
      </w:hyperlink>
      <w:r>
        <w:t xml:space="preserve"> </w:t>
      </w:r>
      <w:r>
        <w:t xml:space="preserve">names and meanings. They are custom-defined by individual services that use AMQP as their notification layer.</w:t>
      </w:r>
    </w:p>
    <w:p>
      <w:pPr>
        <w:pStyle w:val="BodyText"/>
      </w:pPr>
      <w:r>
        <w:t xml:space="preserve">Properties in the sections below are divided into categories based on their usage requirements:</w:t>
      </w:r>
    </w:p>
    <w:p>
      <w:pPr>
        <w:pStyle w:val="Compact"/>
        <w:numPr>
          <w:ilvl w:val="0"/>
          <w:numId w:val="1022"/>
        </w:numPr>
      </w:pPr>
      <w:r>
        <w:rPr>
          <w:i/>
          <w:iCs/>
        </w:rPr>
        <w:t xml:space="preserve">mandatory</w:t>
      </w:r>
      <w:r>
        <w:t xml:space="preserve">: need to be present at all times,</w:t>
      </w:r>
    </w:p>
    <w:p>
      <w:pPr>
        <w:pStyle w:val="Compact"/>
        <w:numPr>
          <w:ilvl w:val="0"/>
          <w:numId w:val="1022"/>
        </w:numPr>
      </w:pPr>
      <w:r>
        <w:rPr>
          <w:i/>
          <w:iCs/>
        </w:rPr>
        <w:t xml:space="preserve">conditional</w:t>
      </w:r>
      <w:r>
        <w:t xml:space="preserve">: are mandatory under stated conditions,</w:t>
      </w:r>
    </w:p>
    <w:p>
      <w:pPr>
        <w:pStyle w:val="Compact"/>
        <w:numPr>
          <w:ilvl w:val="0"/>
          <w:numId w:val="1022"/>
        </w:numPr>
      </w:pPr>
      <w:r>
        <w:rPr>
          <w:i/>
          <w:iCs/>
        </w:rPr>
        <w:t xml:space="preserve">optional</w:t>
      </w:r>
      <w:r>
        <w:t xml:space="preserve">: their presence is left to the implementation, but when included, they SHALL adhere to this specification.</w:t>
      </w:r>
    </w:p>
    <w:bookmarkStart w:id="61" w:name="X8da81d0493d5c41d0437255d8ce42ecd6393a65"/>
    <w:p>
      <w:pPr>
        <w:pStyle w:val="Heading2"/>
      </w:pPr>
      <w:r>
        <w:rPr>
          <w:rStyle w:val="SectionNumber"/>
        </w:rPr>
        <w:t xml:space="preserve">8.1</w:t>
      </w:r>
      <w:r>
        <w:tab/>
      </w:r>
      <w:r>
        <w:t xml:space="preserve">Examples of AMQP Filter Expressions applied to Application Properties</w:t>
      </w:r>
    </w:p>
    <w:p>
      <w:pPr>
        <w:pStyle w:val="SourceCode"/>
      </w:pPr>
      <w:r>
        <w:rPr>
          <w:rStyle w:val="CommentTok"/>
        </w:rPr>
        <w:t xml:space="preserve">-- Filter by specific airports</w:t>
      </w:r>
      <w:r>
        <w:br/>
      </w:r>
      <w:r>
        <w:rPr>
          <w:rStyle w:val="NormalTok"/>
        </w:rPr>
        <w:t xml:space="preserve">properties.icao_location_identifier </w:t>
      </w:r>
      <w:r>
        <w:rPr>
          <w:rStyle w:val="KeywordTok"/>
        </w:rPr>
        <w:t xml:space="preserve">IN</w:t>
      </w:r>
      <w:r>
        <w:rPr>
          <w:rStyle w:val="NormalTok"/>
        </w:rPr>
        <w:t xml:space="preserve"> (</w:t>
      </w:r>
      <w:r>
        <w:rPr>
          <w:rStyle w:val="StringTok"/>
        </w:rPr>
        <w:t xml:space="preserve">'EBBR'</w:t>
      </w:r>
      <w:r>
        <w:rPr>
          <w:rStyle w:val="NormalTok"/>
        </w:rPr>
        <w:t xml:space="preserve">, </w:t>
      </w:r>
      <w:r>
        <w:rPr>
          <w:rStyle w:val="StringTok"/>
        </w:rPr>
        <w:t xml:space="preserve">'EDDF'</w:t>
      </w:r>
      <w:r>
        <w:rPr>
          <w:rStyle w:val="NormalTok"/>
        </w:rPr>
        <w:t xml:space="preserve">)</w:t>
      </w:r>
      <w:r>
        <w:br/>
      </w:r>
      <w:r>
        <w:br/>
      </w:r>
      <w:r>
        <w:rPr>
          <w:rStyle w:val="CommentTok"/>
        </w:rPr>
        <w:t xml:space="preserve">-- Filter by country prefix</w:t>
      </w:r>
      <w:r>
        <w:br/>
      </w:r>
      <w:r>
        <w:rPr>
          <w:rStyle w:val="NormalTok"/>
        </w:rPr>
        <w:t xml:space="preserve">properties.icao_location_identifier </w:t>
      </w:r>
      <w:r>
        <w:rPr>
          <w:rStyle w:val="KeywordTok"/>
        </w:rPr>
        <w:t xml:space="preserve">LIKE</w:t>
      </w:r>
      <w:r>
        <w:rPr>
          <w:rStyle w:val="NormalTok"/>
        </w:rPr>
        <w:t xml:space="preserve"> </w:t>
      </w:r>
      <w:r>
        <w:rPr>
          <w:rStyle w:val="StringTok"/>
        </w:rPr>
        <w:t xml:space="preserve">'EB%'</w:t>
      </w:r>
      <w:r>
        <w:br/>
      </w:r>
      <w:r>
        <w:br/>
      </w:r>
      <w:r>
        <w:rPr>
          <w:rStyle w:val="CommentTok"/>
        </w:rPr>
        <w:t xml:space="preserve">-- Filter by location and type</w:t>
      </w:r>
      <w:r>
        <w:br/>
      </w:r>
      <w:r>
        <w:rPr>
          <w:rStyle w:val="NormalTok"/>
        </w:rPr>
        <w:t xml:space="preserve">properties.icao_location_identifier </w:t>
      </w:r>
      <w:r>
        <w:rPr>
          <w:rStyle w:val="KeywordTok"/>
        </w:rPr>
        <w:t xml:space="preserve">LIKE</w:t>
      </w:r>
      <w:r>
        <w:rPr>
          <w:rStyle w:val="NormalTok"/>
        </w:rPr>
        <w:t xml:space="preserve"> </w:t>
      </w:r>
      <w:r>
        <w:rPr>
          <w:rStyle w:val="StringTok"/>
        </w:rPr>
        <w:t xml:space="preserve">'EB%'</w:t>
      </w:r>
      <w:r>
        <w:rPr>
          <w:rStyle w:val="NormalTok"/>
        </w:rPr>
        <w:t xml:space="preserve"> </w:t>
      </w:r>
      <w:r>
        <w:br/>
      </w:r>
      <w:r>
        <w:rPr>
          <w:rStyle w:val="NormalTok"/>
        </w:rPr>
        <w:t xml:space="preserve">  </w:t>
      </w:r>
      <w:r>
        <w:rPr>
          <w:rStyle w:val="KeywordTok"/>
        </w:rPr>
        <w:t xml:space="preserve">AND</w:t>
      </w:r>
      <w:r>
        <w:rPr>
          <w:rStyle w:val="NormalTok"/>
        </w:rPr>
        <w:t xml:space="preserve"> properties.icao_location_type </w:t>
      </w:r>
      <w:r>
        <w:rPr>
          <w:rStyle w:val="KeywordTok"/>
        </w:rPr>
        <w:t xml:space="preserve">IN</w:t>
      </w:r>
      <w:r>
        <w:rPr>
          <w:rStyle w:val="NormalTok"/>
        </w:rPr>
        <w:t xml:space="preserve"> (</w:t>
      </w:r>
      <w:r>
        <w:rPr>
          <w:rStyle w:val="StringTok"/>
        </w:rPr>
        <w:t xml:space="preserve">'CTA'</w:t>
      </w:r>
      <w:r>
        <w:rPr>
          <w:rStyle w:val="NormalTok"/>
        </w:rPr>
        <w:t xml:space="preserve">, </w:t>
      </w:r>
      <w:r>
        <w:rPr>
          <w:rStyle w:val="StringTok"/>
        </w:rPr>
        <w:t xml:space="preserve">'FIR'</w:t>
      </w:r>
      <w:r>
        <w:rPr>
          <w:rStyle w:val="NormalTok"/>
        </w:rPr>
        <w:t xml:space="preserve">, </w:t>
      </w:r>
      <w:r>
        <w:rPr>
          <w:rStyle w:val="StringTok"/>
        </w:rPr>
        <w:t xml:space="preserve">'AD'</w:t>
      </w:r>
      <w:r>
        <w:rPr>
          <w:rStyle w:val="NormalTok"/>
        </w:rPr>
        <w:t xml:space="preserve">)</w:t>
      </w:r>
      <w:r>
        <w:br/>
      </w:r>
      <w:r>
        <w:br/>
      </w:r>
      <w:r>
        <w:rPr>
          <w:rStyle w:val="CommentTok"/>
        </w:rPr>
        <w:t xml:space="preserve">-- Filter by topic pattern</w:t>
      </w:r>
      <w:r>
        <w:br/>
      </w:r>
      <w:r>
        <w:rPr>
          <w:rStyle w:val="NormalTok"/>
        </w:rPr>
        <w:t xml:space="preserve">subject </w:t>
      </w:r>
      <w:r>
        <w:rPr>
          <w:rStyle w:val="KeywordTok"/>
        </w:rPr>
        <w:t xml:space="preserve">LIKE</w:t>
      </w:r>
      <w:r>
        <w:rPr>
          <w:rStyle w:val="NormalTok"/>
        </w:rPr>
        <w:t xml:space="preserve"> </w:t>
      </w:r>
      <w:r>
        <w:rPr>
          <w:rStyle w:val="StringTok"/>
        </w:rPr>
        <w:t xml:space="preserve">'weather.aviation.%'</w:t>
      </w:r>
    </w:p>
    <w:bookmarkEnd w:id="61"/>
    <w:bookmarkStart w:id="69" w:name="mandatory-application-properties"/>
    <w:p>
      <w:pPr>
        <w:pStyle w:val="Heading2"/>
      </w:pPr>
      <w:r>
        <w:rPr>
          <w:rStyle w:val="SectionNumber"/>
        </w:rPr>
        <w:t xml:space="preserve">8.2</w:t>
      </w:r>
      <w:r>
        <w:tab/>
      </w:r>
      <w:r>
        <w:t xml:space="preserve">Mandatory Application Properties</w:t>
      </w:r>
    </w:p>
    <w:p>
      <w:pPr>
        <w:pStyle w:val="FirstParagraph"/>
      </w:pPr>
      <w:r>
        <w:t xml:space="preserve">These properties MUST be present in all meteorological data messages.</w:t>
      </w:r>
    </w:p>
    <w:bookmarkStart w:id="62" w:name="properties.report_status-mandatory"/>
    <w:p>
      <w:pPr>
        <w:pStyle w:val="Heading3"/>
      </w:pPr>
      <w:r>
        <w:rPr>
          <w:rStyle w:val="SectionNumber"/>
        </w:rPr>
        <w:t xml:space="preserve">8.2.1</w:t>
      </w:r>
      <w:r>
        <w:tab/>
      </w:r>
      <w:r>
        <w:t xml:space="preserve">properties.report_status (mandatory)</w:t>
      </w:r>
    </w:p>
    <w:p>
      <w:pPr>
        <w:pStyle w:val="FirstParagraph"/>
      </w:pPr>
      <w:r>
        <w:t xml:space="preserve">One of the following values:</w:t>
      </w:r>
    </w:p>
    <w:p>
      <w:pPr>
        <w:pStyle w:val="Compact"/>
        <w:numPr>
          <w:ilvl w:val="0"/>
          <w:numId w:val="1023"/>
        </w:numPr>
      </w:pPr>
      <w:r>
        <w:rPr>
          <w:rStyle w:val="VerbatimChar"/>
        </w:rPr>
        <w:t xml:space="preserve">NORMAL</w:t>
      </w:r>
      <w:r>
        <w:t xml:space="preserve"> </w:t>
      </w:r>
      <w:r>
        <w:t xml:space="preserve">- Regular report</w:t>
      </w:r>
    </w:p>
    <w:p>
      <w:pPr>
        <w:pStyle w:val="Compact"/>
        <w:numPr>
          <w:ilvl w:val="0"/>
          <w:numId w:val="1023"/>
        </w:numPr>
      </w:pPr>
      <w:r>
        <w:rPr>
          <w:rStyle w:val="VerbatimChar"/>
        </w:rPr>
        <w:t xml:space="preserve">AMENDMENT</w:t>
      </w:r>
      <w:r>
        <w:t xml:space="preserve"> </w:t>
      </w:r>
      <w:r>
        <w:t xml:space="preserve">- Amendment of a previous report</w:t>
      </w:r>
    </w:p>
    <w:p>
      <w:pPr>
        <w:pStyle w:val="Compact"/>
        <w:numPr>
          <w:ilvl w:val="0"/>
          <w:numId w:val="1023"/>
        </w:numPr>
      </w:pPr>
      <w:r>
        <w:rPr>
          <w:rStyle w:val="VerbatimChar"/>
        </w:rPr>
        <w:t xml:space="preserve">CORRECTION</w:t>
      </w:r>
      <w:r>
        <w:t xml:space="preserve"> </w:t>
      </w:r>
      <w:r>
        <w:t xml:space="preserve">- Correction of a previous report</w:t>
      </w:r>
    </w:p>
    <w:p>
      <w:pPr>
        <w:pStyle w:val="FirstParagraph"/>
      </w:pPr>
      <w:r>
        <w:t xml:space="preserve">This is directly based on the IWXXM</w:t>
      </w:r>
      <w:r>
        <w:t xml:space="preserve"> </w:t>
      </w:r>
      <w:r>
        <w:rPr>
          <w:rStyle w:val="VerbatimChar"/>
        </w:rPr>
        <w:t xml:space="preserve">reportStatus</w:t>
      </w:r>
      <w:r>
        <w:t xml:space="preserve"> </w:t>
      </w:r>
      <w:r>
        <w:t xml:space="preserve">attribute.</w:t>
      </w:r>
    </w:p>
    <w:bookmarkEnd w:id="62"/>
    <w:bookmarkStart w:id="63" w:name="Xd8c0d48a3bf24e9e405dcdbf2be432f49acd054"/>
    <w:p>
      <w:pPr>
        <w:pStyle w:val="Heading3"/>
      </w:pPr>
      <w:r>
        <w:rPr>
          <w:rStyle w:val="SectionNumber"/>
        </w:rPr>
        <w:t xml:space="preserve">8.2.2</w:t>
      </w:r>
      <w:r>
        <w:tab/>
      </w:r>
      <w:r>
        <w:t xml:space="preserve">properties.icao_location_identifier (mandatory)</w:t>
      </w:r>
    </w:p>
    <w:p>
      <w:pPr>
        <w:pStyle w:val="FirstParagraph"/>
      </w:pPr>
      <w:r>
        <w:t xml:space="preserve">ICAO identifier of the location. Mandatory for reports that are issued for an aerodrome or an airspace that a 4-letter ICAO location designator can identify.</w:t>
      </w:r>
    </w:p>
    <w:p>
      <w:pPr>
        <w:pStyle w:val="SourceCode"/>
      </w:pPr>
      <w:r>
        <w:rPr>
          <w:rStyle w:val="VerbatimChar"/>
        </w:rPr>
        <w:t xml:space="preserve">properties.icao_location_identifier: "EBBR"</w:t>
      </w:r>
    </w:p>
    <w:bookmarkEnd w:id="63"/>
    <w:bookmarkStart w:id="67" w:name="properties.icao_location_type-optional"/>
    <w:p>
      <w:pPr>
        <w:pStyle w:val="Heading3"/>
      </w:pPr>
      <w:r>
        <w:rPr>
          <w:rStyle w:val="SectionNumber"/>
        </w:rPr>
        <w:t xml:space="preserve">8.2.3</w:t>
      </w:r>
      <w:r>
        <w:tab/>
      </w:r>
      <w:r>
        <w:t xml:space="preserve">properties.icao_location_type (optional)</w:t>
      </w:r>
    </w:p>
    <w:p>
      <w:pPr>
        <w:pStyle w:val="FirstParagraph"/>
      </w:pPr>
      <w:r>
        <w:t xml:space="preserve">Type of location identifier. Can be optionally used for disambiguation when the location referred to by the</w:t>
      </w:r>
      <w:r>
        <w:t xml:space="preserve"> </w:t>
      </w:r>
      <w:r>
        <w:rPr>
          <w:rStyle w:val="VerbatimChar"/>
        </w:rPr>
        <w:t xml:space="preserve">properties.icao_location_identifier</w:t>
      </w:r>
      <w:r>
        <w:t xml:space="preserve"> </w:t>
      </w:r>
      <w:r>
        <w:t xml:space="preserve">is not clear.</w:t>
      </w:r>
    </w:p>
    <w:p>
      <w:pPr>
        <w:pStyle w:val="BodyText"/>
      </w:pPr>
      <w:r>
        <w:rPr>
          <w:b/>
          <w:bCs/>
        </w:rPr>
        <w:t xml:space="preserve">Motivation:</w:t>
      </w:r>
      <w:r>
        <w:t xml:space="preserve"> </w:t>
      </w:r>
      <w:r>
        <w:t xml:space="preserve">Some countries use the same ICAO code to refer to both the lower FIR and the upper UIR airspace. For example, there are SIGMETs issued for</w:t>
      </w:r>
      <w:r>
        <w:t xml:space="preserve"> </w:t>
      </w:r>
      <w:r>
        <w:rPr>
          <w:rStyle w:val="VerbatimChar"/>
        </w:rPr>
        <w:t xml:space="preserve">LECB BARCELONA FIR</w:t>
      </w:r>
      <w:r>
        <w:t xml:space="preserve">,</w:t>
      </w:r>
      <w:r>
        <w:t xml:space="preserve"> </w:t>
      </w:r>
      <w:r>
        <w:rPr>
          <w:rStyle w:val="VerbatimChar"/>
        </w:rPr>
        <w:t xml:space="preserve">LECB BARCELONA UIR</w:t>
      </w:r>
      <w:r>
        <w:t xml:space="preserve">, and</w:t>
      </w:r>
      <w:r>
        <w:t xml:space="preserve"> </w:t>
      </w:r>
      <w:r>
        <w:rPr>
          <w:rStyle w:val="VerbatimChar"/>
        </w:rPr>
        <w:t xml:space="preserve">LECB BARCELONA FIR/UIR</w:t>
      </w:r>
      <w:r>
        <w:t xml:space="preserve">, depending on which vertical portion of the airspace is affected by the hazard. Including the airspace type information can help users subscribe to the lower (or upper) airspace only.</w:t>
      </w:r>
    </w:p>
    <w:p>
      <w:pPr>
        <w:pStyle w:val="BodyText"/>
      </w:pPr>
      <w:r>
        <w:t xml:space="preserve">Values:</w:t>
      </w:r>
    </w:p>
    <w:p>
      <w:pPr>
        <w:pStyle w:val="Compact"/>
        <w:numPr>
          <w:ilvl w:val="0"/>
          <w:numId w:val="1024"/>
        </w:numPr>
      </w:pPr>
      <w:r>
        <w:rPr>
          <w:rStyle w:val="VerbatimChar"/>
        </w:rPr>
        <w:t xml:space="preserve">AD</w:t>
      </w:r>
      <w:r>
        <w:t xml:space="preserve"> </w:t>
      </w:r>
      <w:r>
        <w:t xml:space="preserve">- Aerodrome (for METAR/TAF)</w:t>
      </w:r>
    </w:p>
    <w:p>
      <w:pPr>
        <w:pStyle w:val="Compact"/>
        <w:numPr>
          <w:ilvl w:val="1"/>
          <w:numId w:val="1025"/>
        </w:numPr>
      </w:pPr>
      <w:r>
        <w:t xml:space="preserve">From AIXM</w:t>
      </w:r>
      <w:r>
        <w:t xml:space="preserve"> </w:t>
      </w:r>
      <w:hyperlink r:id="rId64">
        <w:r>
          <w:rPr>
            <w:rStyle w:val="Hyperlink"/>
          </w:rPr>
          <w:t xml:space="preserve">AirportHeliportType</w:t>
        </w:r>
      </w:hyperlink>
    </w:p>
    <w:p>
      <w:pPr>
        <w:pStyle w:val="Compact"/>
        <w:numPr>
          <w:ilvl w:val="0"/>
          <w:numId w:val="1024"/>
        </w:numPr>
      </w:pPr>
      <w:r>
        <w:rPr>
          <w:rStyle w:val="VerbatimChar"/>
        </w:rPr>
        <w:t xml:space="preserve">FIR</w:t>
      </w:r>
      <w:r>
        <w:t xml:space="preserve"> </w:t>
      </w:r>
      <w:r>
        <w:t xml:space="preserve">- Flight Information Region (for SIGMET)</w:t>
      </w:r>
    </w:p>
    <w:p>
      <w:pPr>
        <w:pStyle w:val="Compact"/>
        <w:numPr>
          <w:ilvl w:val="1"/>
          <w:numId w:val="1026"/>
        </w:numPr>
      </w:pPr>
      <w:r>
        <w:t xml:space="preserve">From AIXM</w:t>
      </w:r>
      <w:r>
        <w:t xml:space="preserve"> </w:t>
      </w:r>
      <w:hyperlink r:id="rId65">
        <w:r>
          <w:rPr>
            <w:rStyle w:val="Hyperlink"/>
          </w:rPr>
          <w:t xml:space="preserve">AirspaceType</w:t>
        </w:r>
      </w:hyperlink>
    </w:p>
    <w:p>
      <w:pPr>
        <w:pStyle w:val="Compact"/>
        <w:numPr>
          <w:ilvl w:val="0"/>
          <w:numId w:val="1024"/>
        </w:numPr>
      </w:pPr>
      <w:r>
        <w:rPr>
          <w:rStyle w:val="VerbatimChar"/>
        </w:rPr>
        <w:t xml:space="preserve">UIR</w:t>
      </w:r>
      <w:r>
        <w:t xml:space="preserve"> </w:t>
      </w:r>
      <w:r>
        <w:t xml:space="preserve">- Upper Information Region</w:t>
      </w:r>
    </w:p>
    <w:p>
      <w:pPr>
        <w:pStyle w:val="Compact"/>
        <w:numPr>
          <w:ilvl w:val="1"/>
          <w:numId w:val="1027"/>
        </w:numPr>
      </w:pPr>
      <w:r>
        <w:t xml:space="preserve">From AIXM</w:t>
      </w:r>
      <w:r>
        <w:t xml:space="preserve"> </w:t>
      </w:r>
      <w:hyperlink r:id="rId65">
        <w:r>
          <w:rPr>
            <w:rStyle w:val="Hyperlink"/>
          </w:rPr>
          <w:t xml:space="preserve">AirspaceType</w:t>
        </w:r>
      </w:hyperlink>
    </w:p>
    <w:p>
      <w:pPr>
        <w:pStyle w:val="Compact"/>
        <w:numPr>
          <w:ilvl w:val="0"/>
          <w:numId w:val="1024"/>
        </w:numPr>
      </w:pPr>
      <w:r>
        <w:rPr>
          <w:rStyle w:val="VerbatimChar"/>
        </w:rPr>
        <w:t xml:space="preserve">CTA</w:t>
      </w:r>
      <w:r>
        <w:t xml:space="preserve"> </w:t>
      </w:r>
      <w:r>
        <w:t xml:space="preserve">- Control Area</w:t>
      </w:r>
    </w:p>
    <w:p>
      <w:pPr>
        <w:pStyle w:val="Compact"/>
        <w:numPr>
          <w:ilvl w:val="1"/>
          <w:numId w:val="1028"/>
        </w:numPr>
      </w:pPr>
      <w:r>
        <w:t xml:space="preserve">From AIXM</w:t>
      </w:r>
      <w:r>
        <w:t xml:space="preserve"> </w:t>
      </w:r>
      <w:hyperlink r:id="rId65">
        <w:r>
          <w:rPr>
            <w:rStyle w:val="Hyperlink"/>
          </w:rPr>
          <w:t xml:space="preserve">AirspaceType</w:t>
        </w:r>
      </w:hyperlink>
    </w:p>
    <w:p>
      <w:pPr>
        <w:pStyle w:val="Compact"/>
        <w:numPr>
          <w:ilvl w:val="0"/>
          <w:numId w:val="1024"/>
        </w:numPr>
      </w:pPr>
      <w:r>
        <w:rPr>
          <w:rStyle w:val="VerbatimChar"/>
        </w:rPr>
        <w:t xml:space="preserve">OTHER:FIR_UIR</w:t>
      </w:r>
      <w:r>
        <w:t xml:space="preserve"> </w:t>
      </w:r>
      <w:r>
        <w:t xml:space="preserve">- Combined FIR/UIR</w:t>
      </w:r>
    </w:p>
    <w:p>
      <w:pPr>
        <w:pStyle w:val="Compact"/>
        <w:numPr>
          <w:ilvl w:val="1"/>
          <w:numId w:val="1029"/>
        </w:numPr>
      </w:pPr>
      <w:r>
        <w:t xml:space="preserve">This is the FIR/UIR encoding used in</w:t>
      </w:r>
      <w:r>
        <w:t xml:space="preserve"> </w:t>
      </w:r>
      <w:r>
        <w:rPr>
          <w:rStyle w:val="VerbatimChar"/>
        </w:rPr>
        <w:t xml:space="preserve">aixm:type</w:t>
      </w:r>
      <w:r>
        <w:t xml:space="preserve"> </w:t>
      </w:r>
      <w:r>
        <w:t xml:space="preserve">in</w:t>
      </w:r>
      <w:r>
        <w:t xml:space="preserve"> </w:t>
      </w:r>
      <w:hyperlink r:id="rId66">
        <w:r>
          <w:rPr>
            <w:rStyle w:val="Hyperlink"/>
          </w:rPr>
          <w:t xml:space="preserve">https://schemas.wmo.int/iwxxm/2025-2RC1/examples/sigmet-A6-1a-TS.xml</w:t>
        </w:r>
      </w:hyperlink>
    </w:p>
    <w:bookmarkEnd w:id="67"/>
    <w:bookmarkStart w:id="68" w:name="conformsto-conditional"/>
    <w:p>
      <w:pPr>
        <w:pStyle w:val="Heading3"/>
      </w:pPr>
      <w:r>
        <w:rPr>
          <w:rStyle w:val="SectionNumber"/>
        </w:rPr>
        <w:t xml:space="preserve">8.2.4</w:t>
      </w:r>
      <w:r>
        <w:tab/>
      </w:r>
      <w:r>
        <w:t xml:space="preserve">conformsTo (conditional)</w:t>
      </w:r>
    </w:p>
    <w:p>
      <w:pPr>
        <w:pStyle w:val="FirstParagraph"/>
      </w:pPr>
      <w:r>
        <w:t xml:space="preserve">If there is a service definition the data conforms to (e.g. the CP1 compliant SWIM Service Definitions), this field SHOULD link to the service definition. The field identifies the specification version and the corresponding SWIM service definition.</w:t>
      </w:r>
    </w:p>
    <w:p>
      <w:pPr>
        <w:pStyle w:val="SourceCode"/>
      </w:pPr>
      <w:r>
        <w:rPr>
          <w:rStyle w:val="VerbatimChar"/>
        </w:rPr>
        <w:t xml:space="preserve">conformsTo: "https://eur-registry.swim.aero/services/eurocontrol-iwxxm-[service-type]-10"</w:t>
      </w:r>
    </w:p>
    <w:p>
      <w:pPr>
        <w:pStyle w:val="FirstParagraph"/>
      </w:pPr>
      <w:r>
        <w:t xml:space="preserve">Example values:</w:t>
      </w:r>
    </w:p>
    <w:p>
      <w:pPr>
        <w:pStyle w:val="Compact"/>
        <w:numPr>
          <w:ilvl w:val="0"/>
          <w:numId w:val="1030"/>
        </w:numPr>
      </w:pPr>
      <w:r>
        <w:rPr>
          <w:rStyle w:val="VerbatimChar"/>
        </w:rPr>
        <w:t xml:space="preserve">https://eur-registry.swim.aero/services/eurocontrol-iwxxm-metar-speci-subscription-and-request-service-10</w:t>
      </w:r>
    </w:p>
    <w:p>
      <w:pPr>
        <w:pStyle w:val="Compact"/>
        <w:numPr>
          <w:ilvl w:val="0"/>
          <w:numId w:val="1030"/>
        </w:numPr>
      </w:pPr>
      <w:r>
        <w:rPr>
          <w:rStyle w:val="VerbatimChar"/>
        </w:rPr>
        <w:t xml:space="preserve">https://eur-registry.swim.aero/services/eurocontrol-iwxxm-taf-subscription-and-request-service-10</w:t>
      </w:r>
    </w:p>
    <w:p>
      <w:pPr>
        <w:pStyle w:val="Compact"/>
        <w:numPr>
          <w:ilvl w:val="0"/>
          <w:numId w:val="1030"/>
        </w:numPr>
      </w:pPr>
      <w:r>
        <w:rPr>
          <w:rStyle w:val="VerbatimChar"/>
        </w:rPr>
        <w:t xml:space="preserve">https://eur-registry.swim.aero/services/eurocontrol-iwxxm-sigmet-subscription-and-request-service-10</w:t>
      </w:r>
    </w:p>
    <w:bookmarkEnd w:id="68"/>
    <w:bookmarkEnd w:id="69"/>
    <w:bookmarkStart w:id="76" w:name="temporal-application-properties"/>
    <w:p>
      <w:pPr>
        <w:pStyle w:val="Heading2"/>
      </w:pPr>
      <w:r>
        <w:rPr>
          <w:rStyle w:val="SectionNumber"/>
        </w:rPr>
        <w:t xml:space="preserve">8.3</w:t>
      </w:r>
      <w:r>
        <w:tab/>
      </w:r>
      <w:r>
        <w:t xml:space="preserve">Temporal Application Properties</w:t>
      </w:r>
    </w:p>
    <w:p>
      <w:pPr>
        <w:pStyle w:val="FirstParagraph"/>
      </w:pPr>
      <w:r>
        <w:t xml:space="preserve">These properties contain date and time information extracted from the IWXXM document.</w:t>
      </w:r>
    </w:p>
    <w:bookmarkStart w:id="71" w:name="properties.issue_datetime-mandatory"/>
    <w:p>
      <w:pPr>
        <w:pStyle w:val="Heading3"/>
      </w:pPr>
      <w:r>
        <w:rPr>
          <w:rStyle w:val="SectionNumber"/>
        </w:rPr>
        <w:t xml:space="preserve">8.3.1</w:t>
      </w:r>
      <w:r>
        <w:tab/>
      </w:r>
      <w:r>
        <w:t xml:space="preserve">properties.issue_datetime (mandatory)</w:t>
      </w:r>
    </w:p>
    <w:p>
      <w:pPr>
        <w:pStyle w:val="FirstParagraph"/>
      </w:pPr>
      <w:hyperlink r:id="rId70">
        <w:r>
          <w:rPr>
            <w:rStyle w:val="Hyperlink"/>
          </w:rPr>
          <w:t xml:space="preserve">RFC 3339</w:t>
        </w:r>
      </w:hyperlink>
      <w:r>
        <w:t xml:space="preserve"> </w:t>
      </w:r>
      <w:r>
        <w:t xml:space="preserve">formatted publication/issue time extracted from</w:t>
      </w:r>
      <w:r>
        <w:t xml:space="preserve"> </w:t>
      </w:r>
      <w:r>
        <w:rPr>
          <w:rStyle w:val="VerbatimChar"/>
        </w:rPr>
        <w:t xml:space="preserve">iwxxm:issueTime</w:t>
      </w:r>
      <w:r>
        <w:t xml:space="preserve">:</w:t>
      </w:r>
    </w:p>
    <w:p>
      <w:pPr>
        <w:pStyle w:val="SourceCode"/>
      </w:pPr>
      <w:r>
        <w:rPr>
          <w:rStyle w:val="FunctionTok"/>
        </w:rPr>
        <w:t xml:space="preserve">properties.issue_datetime</w:t>
      </w:r>
      <w:r>
        <w:rPr>
          <w:rStyle w:val="KeywordTok"/>
        </w:rPr>
        <w:t xml:space="preserve">:</w:t>
      </w:r>
      <w:r>
        <w:rPr>
          <w:rStyle w:val="AttributeTok"/>
        </w:rPr>
        <w:t xml:space="preserve"> </w:t>
      </w:r>
      <w:r>
        <w:rPr>
          <w:rStyle w:val="StringTok"/>
        </w:rPr>
        <w:t xml:space="preserve">"2025-04-15T14:10:00Z"</w:t>
      </w:r>
    </w:p>
    <w:p>
      <w:pPr>
        <w:pStyle w:val="FirstParagraph"/>
      </w:pPr>
      <w:r>
        <w:t xml:space="preserve">This property is mandatory for all the CP1 message types.</w:t>
      </w:r>
    </w:p>
    <w:p>
      <w:pPr>
        <w:pStyle w:val="BodyText"/>
      </w:pPr>
      <w:r>
        <w:rPr>
          <w:b/>
          <w:bCs/>
        </w:rPr>
        <w:t xml:space="preserve">Note:</w:t>
      </w:r>
      <w:r>
        <w:t xml:space="preserve"> </w:t>
      </w:r>
      <w:r>
        <w:t xml:space="preserve">In previous proposals, this was called</w:t>
      </w:r>
      <w:r>
        <w:t xml:space="preserve"> </w:t>
      </w:r>
      <w:r>
        <w:rPr>
          <w:rStyle w:val="VerbatimChar"/>
        </w:rPr>
        <w:t xml:space="preserve">properties.pubtime</w:t>
      </w:r>
      <w:r>
        <w:t xml:space="preserve"> </w:t>
      </w:r>
      <w:r>
        <w:t xml:space="preserve">in reference to WIS 2.0 WNP publication time (</w:t>
      </w:r>
      <w:r>
        <w:rPr>
          <w:rStyle w:val="VerbatimChar"/>
        </w:rPr>
        <w:t xml:space="preserve">properties.pubtime</w:t>
      </w:r>
      <w:r>
        <w:t xml:space="preserve">). However, the publication time in WNM refers to when the notification message was sent, rather than time of issuing of the meteorological report itself. Time of sending of the notification message is better represented by the</w:t>
      </w:r>
      <w:r>
        <w:t xml:space="preserve"> </w:t>
      </w:r>
      <w:r>
        <w:rPr>
          <w:rStyle w:val="VerbatimChar"/>
        </w:rPr>
        <w:t xml:space="preserve">creation-time</w:t>
      </w:r>
      <w:r>
        <w:t xml:space="preserve"> </w:t>
      </w:r>
      <w:r>
        <w:t xml:space="preserve">in the AMQP transport header.</w:t>
      </w:r>
    </w:p>
    <w:bookmarkEnd w:id="71"/>
    <w:bookmarkStart w:id="73" w:name="properties.datetime-conditional"/>
    <w:p>
      <w:pPr>
        <w:pStyle w:val="Heading3"/>
      </w:pPr>
      <w:r>
        <w:rPr>
          <w:rStyle w:val="SectionNumber"/>
        </w:rPr>
        <w:t xml:space="preserve">8.3.2</w:t>
      </w:r>
      <w:r>
        <w:tab/>
      </w:r>
      <w:r>
        <w:t xml:space="preserve">properties.datetime (conditional)</w:t>
      </w:r>
    </w:p>
    <w:p>
      <w:pPr>
        <w:pStyle w:val="FirstParagraph"/>
      </w:pPr>
      <w:r>
        <w:t xml:space="preserve">For METAR/SPECI only - observation time in</w:t>
      </w:r>
      <w:r>
        <w:t xml:space="preserve"> </w:t>
      </w:r>
      <w:hyperlink r:id="rId70">
        <w:r>
          <w:rPr>
            <w:rStyle w:val="Hyperlink"/>
          </w:rPr>
          <w:t xml:space="preserve">RFC 3339</w:t>
        </w:r>
      </w:hyperlink>
      <w:r>
        <w:t xml:space="preserve"> </w:t>
      </w:r>
      <w:r>
        <w:t xml:space="preserve">format from</w:t>
      </w:r>
      <w:r>
        <w:t xml:space="preserve"> </w:t>
      </w:r>
      <w:r>
        <w:rPr>
          <w:rStyle w:val="VerbatimChar"/>
        </w:rPr>
        <w:t xml:space="preserve">iwxxm:observationTime</w:t>
      </w:r>
      <w:r>
        <w:t xml:space="preserve">:</w:t>
      </w:r>
    </w:p>
    <w:p>
      <w:pPr>
        <w:pStyle w:val="SourceCode"/>
      </w:pPr>
      <w:r>
        <w:rPr>
          <w:rStyle w:val="FunctionTok"/>
        </w:rPr>
        <w:t xml:space="preserve">properties.datetime</w:t>
      </w:r>
      <w:r>
        <w:rPr>
          <w:rStyle w:val="KeywordTok"/>
        </w:rPr>
        <w:t xml:space="preserve">:</w:t>
      </w:r>
      <w:r>
        <w:rPr>
          <w:rStyle w:val="AttributeTok"/>
        </w:rPr>
        <w:t xml:space="preserve"> </w:t>
      </w:r>
      <w:r>
        <w:rPr>
          <w:rStyle w:val="StringTok"/>
        </w:rPr>
        <w:t xml:space="preserve">"2025-03-31T03:00:00Z"</w:t>
      </w:r>
    </w:p>
    <w:p>
      <w:pPr>
        <w:pStyle w:val="FirstParagraph"/>
      </w:pPr>
      <w:r>
        <w:rPr>
          <w:b/>
          <w:bCs/>
        </w:rPr>
        <w:t xml:space="preserve">Note:</w:t>
      </w:r>
      <w:r>
        <w:t xml:space="preserve"> </w:t>
      </w:r>
      <w:r>
        <w:t xml:space="preserve">Corresponds to</w:t>
      </w:r>
      <w:r>
        <w:t xml:space="preserve"> </w:t>
      </w:r>
      <w:r>
        <w:rPr>
          <w:rStyle w:val="VerbatimChar"/>
        </w:rPr>
        <w:t xml:space="preserve">properties.datetime</w:t>
      </w:r>
      <w:r>
        <w:t xml:space="preserve"> </w:t>
      </w:r>
      <w:r>
        <w:t xml:space="preserve">in WIS 2.0 Notification Messages, see</w:t>
      </w:r>
      <w:r>
        <w:t xml:space="preserve"> </w:t>
      </w:r>
      <w:hyperlink r:id="rId72">
        <w:r>
          <w:rPr>
            <w:rStyle w:val="Hyperlink"/>
          </w:rPr>
          <w:t xml:space="preserve">Properties / Temporal description</w:t>
        </w:r>
      </w:hyperlink>
      <w:r>
        <w:t xml:space="preserve"> </w:t>
      </w:r>
      <w:r>
        <w:t xml:space="preserve">in the WNM specification.</w:t>
      </w:r>
    </w:p>
    <w:bookmarkEnd w:id="73"/>
    <w:bookmarkStart w:id="74" w:name="properties.start_datetime-conditional"/>
    <w:p>
      <w:pPr>
        <w:pStyle w:val="Heading3"/>
      </w:pPr>
      <w:r>
        <w:rPr>
          <w:rStyle w:val="SectionNumber"/>
        </w:rPr>
        <w:t xml:space="preserve">8.3.3</w:t>
      </w:r>
      <w:r>
        <w:tab/>
      </w:r>
      <w:r>
        <w:t xml:space="preserve">properties.start_datetime (conditional)</w:t>
      </w:r>
    </w:p>
    <w:p>
      <w:pPr>
        <w:pStyle w:val="FirstParagraph"/>
      </w:pPr>
      <w:r>
        <w:t xml:space="preserve">For TAF/SIGMET - start of validity period in</w:t>
      </w:r>
      <w:r>
        <w:t xml:space="preserve"> </w:t>
      </w:r>
      <w:hyperlink r:id="rId70">
        <w:r>
          <w:rPr>
            <w:rStyle w:val="Hyperlink"/>
          </w:rPr>
          <w:t xml:space="preserve">RFC 3339</w:t>
        </w:r>
      </w:hyperlink>
      <w:r>
        <w:t xml:space="preserve"> </w:t>
      </w:r>
      <w:r>
        <w:t xml:space="preserve">format from</w:t>
      </w:r>
      <w:r>
        <w:t xml:space="preserve"> </w:t>
      </w:r>
      <w:r>
        <w:rPr>
          <w:rStyle w:val="VerbatimChar"/>
        </w:rPr>
        <w:t xml:space="preserve">iwxxm:validPeriod</w:t>
      </w:r>
      <w:r>
        <w:t xml:space="preserve">:</w:t>
      </w:r>
    </w:p>
    <w:p>
      <w:pPr>
        <w:pStyle w:val="SourceCode"/>
      </w:pPr>
      <w:r>
        <w:rPr>
          <w:rStyle w:val="FunctionTok"/>
        </w:rPr>
        <w:t xml:space="preserve">properties.start_datetime</w:t>
      </w:r>
      <w:r>
        <w:rPr>
          <w:rStyle w:val="KeywordTok"/>
        </w:rPr>
        <w:t xml:space="preserve">:</w:t>
      </w:r>
      <w:r>
        <w:rPr>
          <w:rStyle w:val="AttributeTok"/>
        </w:rPr>
        <w:t xml:space="preserve"> </w:t>
      </w:r>
      <w:r>
        <w:rPr>
          <w:rStyle w:val="StringTok"/>
        </w:rPr>
        <w:t xml:space="preserve">"2025-04-15T14:30:00Z"</w:t>
      </w:r>
    </w:p>
    <w:p>
      <w:pPr>
        <w:pStyle w:val="FirstParagraph"/>
      </w:pPr>
      <w:r>
        <w:rPr>
          <w:b/>
          <w:bCs/>
        </w:rPr>
        <w:t xml:space="preserve">Note: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correspond to the equivalently named properties in the WIS 2.0 Notification Messages. See</w:t>
      </w:r>
      <w:r>
        <w:t xml:space="preserve"> </w:t>
      </w:r>
      <w:hyperlink r:id="rId72">
        <w:r>
          <w:rPr>
            <w:rStyle w:val="Hyperlink"/>
          </w:rPr>
          <w:t xml:space="preserve">Properties / Temporal description</w:t>
        </w:r>
      </w:hyperlink>
      <w:r>
        <w:t xml:space="preserve"> </w:t>
      </w:r>
      <w:r>
        <w:t xml:space="preserve">in the WNM specification.</w:t>
      </w:r>
    </w:p>
    <w:bookmarkEnd w:id="74"/>
    <w:bookmarkStart w:id="75" w:name="properties.end_datetime-conditional"/>
    <w:p>
      <w:pPr>
        <w:pStyle w:val="Heading3"/>
      </w:pPr>
      <w:r>
        <w:rPr>
          <w:rStyle w:val="SectionNumber"/>
        </w:rPr>
        <w:t xml:space="preserve">8.3.4</w:t>
      </w:r>
      <w:r>
        <w:tab/>
      </w:r>
      <w:r>
        <w:t xml:space="preserve">properties.end_datetime (conditional)</w:t>
      </w:r>
    </w:p>
    <w:p>
      <w:pPr>
        <w:pStyle w:val="FirstParagraph"/>
      </w:pPr>
      <w:r>
        <w:t xml:space="preserve">For TAF/SIGMET - end of validity period in</w:t>
      </w:r>
      <w:r>
        <w:t xml:space="preserve"> </w:t>
      </w:r>
      <w:hyperlink r:id="rId70">
        <w:r>
          <w:rPr>
            <w:rStyle w:val="Hyperlink"/>
          </w:rPr>
          <w:t xml:space="preserve">RFC 3339</w:t>
        </w:r>
      </w:hyperlink>
      <w:r>
        <w:t xml:space="preserve"> </w:t>
      </w:r>
      <w:r>
        <w:t xml:space="preserve">format:</w:t>
      </w:r>
    </w:p>
    <w:p>
      <w:pPr>
        <w:pStyle w:val="SourceCode"/>
      </w:pPr>
      <w:r>
        <w:rPr>
          <w:rStyle w:val="FunctionTok"/>
        </w:rPr>
        <w:t xml:space="preserve">properties.end_datetime</w:t>
      </w:r>
      <w:r>
        <w:rPr>
          <w:rStyle w:val="KeywordTok"/>
        </w:rPr>
        <w:t xml:space="preserve">:</w:t>
      </w:r>
      <w:r>
        <w:rPr>
          <w:rStyle w:val="AttributeTok"/>
        </w:rPr>
        <w:t xml:space="preserve"> </w:t>
      </w:r>
      <w:r>
        <w:rPr>
          <w:rStyle w:val="StringTok"/>
        </w:rPr>
        <w:t xml:space="preserve">"2025-04-15T18:00:00Z"</w:t>
      </w:r>
    </w:p>
    <w:bookmarkEnd w:id="75"/>
    <w:bookmarkEnd w:id="76"/>
    <w:bookmarkStart w:id="78" w:name="amqp-with-message-security"/>
    <w:p>
      <w:pPr>
        <w:pStyle w:val="Heading2"/>
      </w:pPr>
      <w:r>
        <w:rPr>
          <w:rStyle w:val="SectionNumber"/>
        </w:rPr>
        <w:t xml:space="preserve">8.4</w:t>
      </w:r>
      <w:r>
        <w:tab/>
      </w:r>
      <w:r>
        <w:t xml:space="preserve">AMQP with Message Security</w:t>
      </w:r>
    </w:p>
    <w:p>
      <w:pPr>
        <w:pStyle w:val="FirstParagraph"/>
      </w:pPr>
      <w:r>
        <w:t xml:space="preserve">SWIM TI Yellow Profile 2.0 section 3.1.1.12 defines Service Interface Binding of type</w:t>
      </w:r>
      <w:r>
        <w:t xml:space="preserve"> </w:t>
      </w:r>
      <w:r>
        <w:t xml:space="preserve">“AMQP Messaging with Message Security”</w:t>
      </w:r>
      <w:r>
        <w:t xml:space="preserve"> </w:t>
      </w:r>
      <w:r>
        <w:t xml:space="preserve">that enables detection of data corruption during transmission and ensures data authenticity. This is by leveraging the</w:t>
      </w:r>
      <w:r>
        <w:t xml:space="preserve"> </w:t>
      </w:r>
      <w:hyperlink r:id="rId77">
        <w:r>
          <w:rPr>
            <w:rStyle w:val="Hyperlink"/>
          </w:rPr>
          <w:t xml:space="preserve">S/MIME 4.0 (RFC 8551)</w:t>
        </w:r>
      </w:hyperlink>
      <w:r>
        <w:t xml:space="preserve"> </w:t>
      </w:r>
      <w:r>
        <w:t xml:space="preserve">standard used in emails.</w:t>
      </w:r>
    </w:p>
    <w:p>
      <w:pPr>
        <w:pStyle w:val="BodyText"/>
      </w:pPr>
      <w:r>
        <w:rPr>
          <w:b/>
          <w:bCs/>
        </w:rPr>
        <w:t xml:space="preserve">Note:</w:t>
      </w:r>
      <w:r>
        <w:t xml:space="preserve"> </w:t>
      </w:r>
      <w:r>
        <w:t xml:space="preserve">Our previous proposal was to adopt integrity methods from WIS 2.0 WNM specification, but since Yellow Profile 2.0 endorses S/MIME 4.0 there is no need to copy the integrity mechanisms from WIS 2.0.</w:t>
      </w:r>
    </w:p>
    <w:p>
      <w:pPr>
        <w:pStyle w:val="BlockText"/>
      </w:pPr>
      <w:r>
        <w:rPr>
          <w:b/>
          <w:bCs/>
        </w:rPr>
        <w:t xml:space="preserve">TODO:</w:t>
      </w:r>
      <w:r>
        <w:t xml:space="preserve"> </w:t>
      </w:r>
      <w:r>
        <w:t xml:space="preserve">Provide more guidance on using S/MIME 4.0.</w:t>
      </w:r>
    </w:p>
    <w:bookmarkEnd w:id="78"/>
    <w:bookmarkEnd w:id="79"/>
    <w:bookmarkStart w:id="80" w:name="message-payload"/>
    <w:p>
      <w:pPr>
        <w:pStyle w:val="Heading1"/>
      </w:pPr>
      <w:r>
        <w:rPr>
          <w:rStyle w:val="SectionNumber"/>
        </w:rPr>
        <w:t xml:space="preserve">9</w:t>
      </w:r>
      <w:r>
        <w:tab/>
      </w:r>
      <w:r>
        <w:t xml:space="preserve">Message Payload</w:t>
      </w:r>
    </w:p>
    <w:p>
      <w:pPr>
        <w:pStyle w:val="FirstParagraph"/>
      </w:pPr>
      <w:r>
        <w:t xml:space="preserve">For IWXXM XML documents, the payload SHALL contain the complete IWXXM XML document representing one METAR, SPECI, TAF or SIGMET report. XML documents using</w:t>
      </w:r>
    </w:p>
    <w:p>
      <w:pPr>
        <w:pStyle w:val="Compact"/>
        <w:numPr>
          <w:ilvl w:val="0"/>
          <w:numId w:val="1031"/>
        </w:numPr>
      </w:pPr>
      <w:r>
        <w:t xml:space="preserve">The message property</w:t>
      </w:r>
      <w:r>
        <w:t xml:space="preserve"> </w:t>
      </w:r>
      <w:r>
        <w:rPr>
          <w:rStyle w:val="VerbatimChar"/>
        </w:rPr>
        <w:t xml:space="preserve">content-type</w:t>
      </w:r>
      <w:r>
        <w:t xml:space="preserve"> </w:t>
      </w:r>
      <w:r>
        <w:t xml:space="preserve">must be set to</w:t>
      </w:r>
      <w:r>
        <w:t xml:space="preserve"> </w:t>
      </w:r>
      <w:r>
        <w:rPr>
          <w:rStyle w:val="VerbatimChar"/>
        </w:rPr>
        <w:t xml:space="preserve">application/xml</w:t>
      </w:r>
      <w:r>
        <w:t xml:space="preserve">.</w:t>
      </w:r>
    </w:p>
    <w:p>
      <w:pPr>
        <w:pStyle w:val="Compact"/>
        <w:numPr>
          <w:ilvl w:val="0"/>
          <w:numId w:val="1031"/>
        </w:numPr>
      </w:pPr>
      <w:r>
        <w:t xml:space="preserve">The payload can be optionally compressed using gzip; in this case, the</w:t>
      </w:r>
      <w:r>
        <w:t xml:space="preserve"> </w:t>
      </w:r>
      <w:r>
        <w:rPr>
          <w:rStyle w:val="VerbatimChar"/>
        </w:rPr>
        <w:t xml:space="preserve">content-encoding</w:t>
      </w:r>
      <w:r>
        <w:t xml:space="preserve"> </w:t>
      </w:r>
      <w:r>
        <w:t xml:space="preserve">message property SHALL be set to</w:t>
      </w:r>
      <w:r>
        <w:t xml:space="preserve"> </w:t>
      </w:r>
      <w:r>
        <w:rPr>
          <w:rStyle w:val="VerbatimChar"/>
        </w:rPr>
        <w:t xml:space="preserve">gzip</w:t>
      </w:r>
      <w:r>
        <w:t xml:space="preserve">.</w:t>
      </w:r>
    </w:p>
    <w:bookmarkEnd w:id="80"/>
    <w:bookmarkStart w:id="90" w:name="broker-and-client-library-compatibility"/>
    <w:p>
      <w:pPr>
        <w:pStyle w:val="Heading1"/>
      </w:pPr>
      <w:r>
        <w:rPr>
          <w:rStyle w:val="SectionNumber"/>
        </w:rPr>
        <w:t xml:space="preserve">10</w:t>
      </w:r>
      <w:r>
        <w:tab/>
      </w:r>
      <w:r>
        <w:t xml:space="preserve">Broker and Client Library Compatibility</w:t>
      </w:r>
    </w:p>
    <w:bookmarkStart w:id="81" w:name="Xc6d16f71a4ce656d843e4a2ac7e85f48bb4e0e9"/>
    <w:p>
      <w:pPr>
        <w:pStyle w:val="Heading2"/>
      </w:pPr>
      <w:r>
        <w:rPr>
          <w:rStyle w:val="SectionNumber"/>
        </w:rPr>
        <w:t xml:space="preserve">10.1</w:t>
      </w:r>
      <w:r>
        <w:tab/>
      </w:r>
      <w:r>
        <w:t xml:space="preserve">AMQP 1.0 Brokers Successfully Used in MET-SWIM Implementations</w:t>
      </w:r>
    </w:p>
    <w:p>
      <w:pPr>
        <w:pStyle w:val="FirstParagraph"/>
      </w:pPr>
      <w:r>
        <w:t xml:space="preserve">The following AMQP 1.0 brokers have been successfully used in MET-SWIM implementations:</w:t>
      </w:r>
    </w:p>
    <w:tbl>
      <w:tblPr>
        <w:tblStyle w:val="Table"/>
        <w:tblW w:type="pct" w:w="5000"/>
        <w:tblLayout w:type="fixed"/>
        <w:tblLook w:firstRow="1" w:lastRow="0" w:firstColumn="0" w:lastColumn="0" w:noHBand="0" w:noVBand="0" w:val="0020"/>
      </w:tblPr>
      <w:tblGrid>
        <w:gridCol w:w="1195"/>
        <w:gridCol w:w="2689"/>
        <w:gridCol w:w="2988"/>
        <w:gridCol w:w="1046"/>
      </w:tblGrid>
      <w:tr>
        <w:trPr>
          <w:tblHeader w:val="on"/>
        </w:trPr>
        <w:tc>
          <w:tcPr/>
          <w:p>
            <w:pPr>
              <w:pStyle w:val="Compact"/>
            </w:pPr>
            <w:r>
              <w:t xml:space="preserve">Broker</w:t>
            </w:r>
          </w:p>
        </w:tc>
        <w:tc>
          <w:tcPr/>
          <w:p>
            <w:pPr>
              <w:pStyle w:val="Compact"/>
            </w:pPr>
            <w:r>
              <w:t xml:space="preserve">Wildcard Support</w:t>
            </w:r>
          </w:p>
        </w:tc>
        <w:tc>
          <w:tcPr/>
          <w:p>
            <w:pPr>
              <w:pStyle w:val="Compact"/>
            </w:pPr>
            <w:r>
              <w:t xml:space="preserve">Filter Expressions</w:t>
            </w:r>
          </w:p>
        </w:tc>
        <w:tc>
          <w:tcPr/>
          <w:p>
            <w:pPr>
              <w:pStyle w:val="Compact"/>
            </w:pPr>
            <w:r>
              <w:t xml:space="preserve">Notes</w:t>
            </w:r>
          </w:p>
        </w:tc>
      </w:tr>
      <w:tr>
        <w:tc>
          <w:tcPr/>
          <w:p>
            <w:pPr>
              <w:pStyle w:val="Compact"/>
            </w:pPr>
            <w:r>
              <w:t xml:space="preserve">Apache ActiveMQ Artemis</w:t>
            </w:r>
          </w:p>
        </w:tc>
        <w:tc>
          <w:tcPr/>
          <w:p>
            <w:pPr>
              <w:pStyle w:val="Compact"/>
            </w:pPr>
            <w:r>
              <w:t xml:space="preserve">✓</w:t>
            </w:r>
          </w:p>
        </w:tc>
        <w:tc>
          <w:tcPr/>
          <w:p>
            <w:pPr>
              <w:pStyle w:val="Compact"/>
            </w:pPr>
            <w:r>
              <w:t xml:space="preserve">✓</w:t>
            </w:r>
          </w:p>
        </w:tc>
        <w:tc>
          <w:tcPr/>
          <w:p>
            <w:pPr>
              <w:pStyle w:val="Compact"/>
            </w:pPr>
            <w:r>
              <w:t xml:space="preserve">Full support for SQL-like filtering</w:t>
            </w:r>
          </w:p>
        </w:tc>
      </w:tr>
      <w:tr>
        <w:tc>
          <w:tcPr/>
          <w:p>
            <w:pPr>
              <w:pStyle w:val="Compact"/>
            </w:pPr>
            <w:r>
              <w:t xml:space="preserve">RabbitMQ</w:t>
            </w:r>
          </w:p>
        </w:tc>
        <w:tc>
          <w:tcPr/>
          <w:p>
            <w:pPr>
              <w:pStyle w:val="Compact"/>
            </w:pPr>
            <w:r>
              <w:t xml:space="preserve">partial</w:t>
            </w:r>
          </w:p>
        </w:tc>
        <w:tc>
          <w:tcPr/>
          <w:p>
            <w:pPr>
              <w:pStyle w:val="Compact"/>
            </w:pPr>
            <w:r>
              <w:t xml:space="preserve">✓</w:t>
            </w:r>
          </w:p>
        </w:tc>
        <w:tc>
          <w:tcPr/>
          <w:p>
            <w:pPr>
              <w:pStyle w:val="Compact"/>
            </w:pPr>
            <w:r>
              <w:t xml:space="preserve">Requires AMQP 1.0 plugin enabled</w:t>
            </w:r>
          </w:p>
        </w:tc>
      </w:tr>
      <w:tr>
        <w:tc>
          <w:tcPr/>
          <w:p>
            <w:pPr>
              <w:pStyle w:val="Compact"/>
            </w:pPr>
            <w:r>
              <w:t xml:space="preserve">Apache Qpid Broker-J</w:t>
            </w:r>
          </w:p>
        </w:tc>
        <w:tc>
          <w:tcPr/>
          <w:p>
            <w:pPr>
              <w:pStyle w:val="Compact"/>
            </w:pPr>
            <w:r>
              <w:t xml:space="preserve">✓</w:t>
            </w:r>
          </w:p>
        </w:tc>
        <w:tc>
          <w:tcPr/>
          <w:p>
            <w:pPr>
              <w:pStyle w:val="Compact"/>
            </w:pPr>
            <w:r>
              <w:t xml:space="preserve">✓</w:t>
            </w:r>
          </w:p>
        </w:tc>
        <w:tc>
          <w:tcPr/>
          <w:p>
            <w:pPr>
              <w:pStyle w:val="Compact"/>
            </w:pPr>
            <w:r>
              <w:t xml:space="preserve">Apache’s AMQP 1.0 broker implementation</w:t>
            </w:r>
          </w:p>
        </w:tc>
      </w:tr>
    </w:tbl>
    <w:bookmarkEnd w:id="81"/>
    <w:bookmarkStart w:id="89" w:name="X9b312f8bbf881f1f4de6d711b466471dd4a2eb5"/>
    <w:p>
      <w:pPr>
        <w:pStyle w:val="Heading2"/>
      </w:pPr>
      <w:r>
        <w:rPr>
          <w:rStyle w:val="SectionNumber"/>
        </w:rPr>
        <w:t xml:space="preserve">10.2</w:t>
      </w:r>
      <w:r>
        <w:tab/>
      </w:r>
      <w:r>
        <w:t xml:space="preserve">AMQP 1.0 Client Libraries Known to Work in MET-SWIM Context</w:t>
      </w:r>
    </w:p>
    <w:p>
      <w:pPr>
        <w:pStyle w:val="FirstParagraph"/>
      </w:pPr>
      <w:r>
        <w:t xml:space="preserve">The following client libraries have been successfully used with AMQP 1.0 brokers in real implementations:</w:t>
      </w:r>
    </w:p>
    <w:p>
      <w:pPr>
        <w:pStyle w:val="BodyText"/>
      </w:pPr>
      <w:r>
        <w:rPr>
          <w:b/>
          <w:bCs/>
        </w:rPr>
        <w:t xml:space="preserve">Note:</w:t>
      </w:r>
      <w:r>
        <w:t xml:space="preserve"> </w:t>
      </w:r>
      <w:r>
        <w:t xml:space="preserve">This section needs to be expanded based on the experience of a wider range of organisations. Qpid Proton C++ and Python APIs are known to work correctly.</w:t>
      </w:r>
    </w:p>
    <w:bookmarkStart w:id="83" w:name="javascriptnode.js"/>
    <w:p>
      <w:pPr>
        <w:pStyle w:val="Heading3"/>
      </w:pPr>
      <w:r>
        <w:rPr>
          <w:rStyle w:val="SectionNumber"/>
        </w:rPr>
        <w:t xml:space="preserve">10.2.1</w:t>
      </w:r>
      <w:r>
        <w:tab/>
      </w:r>
      <w:r>
        <w:t xml:space="preserve">JavaScript/Node.js</w:t>
      </w:r>
    </w:p>
    <w:p>
      <w:pPr>
        <w:pStyle w:val="Compact"/>
        <w:numPr>
          <w:ilvl w:val="0"/>
          <w:numId w:val="1032"/>
        </w:numPr>
      </w:pPr>
      <w:r>
        <w:rPr>
          <w:b/>
          <w:bCs/>
        </w:rPr>
        <w:t xml:space="preserve">Rhea</w:t>
      </w:r>
      <w:r>
        <w:t xml:space="preserve"> </w:t>
      </w:r>
      <w:r>
        <w:t xml:space="preserve">- A fully compliant AMQP 1.0 library that is actively maintained. This is the JavaScript library for AMQP 1.0 connections that has been confirmed to work. Available at</w:t>
      </w:r>
      <w:r>
        <w:t xml:space="preserve"> </w:t>
      </w:r>
      <w:hyperlink r:id="rId82">
        <w:r>
          <w:rPr>
            <w:rStyle w:val="Hyperlink"/>
          </w:rPr>
          <w:t xml:space="preserve">https://github.com/amqp/rhea</w:t>
        </w:r>
      </w:hyperlink>
      <w:r>
        <w:t xml:space="preserve">.</w:t>
      </w:r>
    </w:p>
    <w:bookmarkEnd w:id="83"/>
    <w:bookmarkStart w:id="85" w:name="python"/>
    <w:p>
      <w:pPr>
        <w:pStyle w:val="Heading3"/>
      </w:pPr>
      <w:r>
        <w:rPr>
          <w:rStyle w:val="SectionNumber"/>
        </w:rPr>
        <w:t xml:space="preserve">10.2.2</w:t>
      </w:r>
      <w:r>
        <w:tab/>
      </w:r>
      <w:r>
        <w:t xml:space="preserve">Python</w:t>
      </w:r>
    </w:p>
    <w:p>
      <w:pPr>
        <w:pStyle w:val="Compact"/>
        <w:numPr>
          <w:ilvl w:val="0"/>
          <w:numId w:val="1033"/>
        </w:numPr>
      </w:pPr>
      <w:r>
        <w:rPr>
          <w:b/>
          <w:bCs/>
        </w:rPr>
        <w:t xml:space="preserve">Qpid Proton Python API</w:t>
      </w:r>
      <w:r>
        <w:t xml:space="preserve"> </w:t>
      </w:r>
      <w:r>
        <w:t xml:space="preserve">- Part of</w:t>
      </w:r>
      <w:r>
        <w:t xml:space="preserve"> </w:t>
      </w:r>
      <w:hyperlink r:id="rId84">
        <w:r>
          <w:rPr>
            <w:rStyle w:val="Hyperlink"/>
          </w:rPr>
          <w:t xml:space="preserve">Apache Qpid Proton</w:t>
        </w:r>
      </w:hyperlink>
      <w:r>
        <w:t xml:space="preserve">, this is a mature and well-tested library with full AMQP 1.0 support. Successfully used with ActiveMQ Artemis, RabbitMQ, and other AMQP 1.0 brokers.</w:t>
      </w:r>
    </w:p>
    <w:bookmarkEnd w:id="85"/>
    <w:bookmarkStart w:id="86" w:name="c"/>
    <w:p>
      <w:pPr>
        <w:pStyle w:val="Heading3"/>
      </w:pPr>
      <w:r>
        <w:rPr>
          <w:rStyle w:val="SectionNumber"/>
        </w:rPr>
        <w:t xml:space="preserve">10.2.3</w:t>
      </w:r>
      <w:r>
        <w:tab/>
      </w:r>
      <w:r>
        <w:t xml:space="preserve">C++</w:t>
      </w:r>
    </w:p>
    <w:p>
      <w:pPr>
        <w:pStyle w:val="Compact"/>
        <w:numPr>
          <w:ilvl w:val="0"/>
          <w:numId w:val="1034"/>
        </w:numPr>
      </w:pPr>
      <w:r>
        <w:rPr>
          <w:b/>
          <w:bCs/>
        </w:rPr>
        <w:t xml:space="preserve">Qpid Proton C++</w:t>
      </w:r>
      <w:r>
        <w:t xml:space="preserve"> </w:t>
      </w:r>
      <w:r>
        <w:t xml:space="preserve">- Part of</w:t>
      </w:r>
      <w:r>
        <w:t xml:space="preserve"> </w:t>
      </w:r>
      <w:hyperlink r:id="rId84">
        <w:r>
          <w:rPr>
            <w:rStyle w:val="Hyperlink"/>
          </w:rPr>
          <w:t xml:space="preserve">Apache Qpid Proton</w:t>
        </w:r>
      </w:hyperlink>
      <w:r>
        <w:t xml:space="preserve">, verified to work properly with AMQP 1.0 brokers. Provides a portable C implementation with C++ bindings.</w:t>
      </w:r>
    </w:p>
    <w:bookmarkEnd w:id="86"/>
    <w:bookmarkStart w:id="87" w:name="java"/>
    <w:p>
      <w:pPr>
        <w:pStyle w:val="Heading3"/>
      </w:pPr>
      <w:r>
        <w:rPr>
          <w:rStyle w:val="SectionNumber"/>
        </w:rPr>
        <w:t xml:space="preserve">10.2.4</w:t>
      </w:r>
      <w:r>
        <w:tab/>
      </w:r>
      <w:r>
        <w:t xml:space="preserve">Java</w:t>
      </w:r>
    </w:p>
    <w:p>
      <w:pPr>
        <w:pStyle w:val="Compact"/>
        <w:numPr>
          <w:ilvl w:val="0"/>
          <w:numId w:val="1035"/>
        </w:numPr>
      </w:pPr>
      <w:r>
        <w:rPr>
          <w:b/>
          <w:bCs/>
        </w:rPr>
        <w:t xml:space="preserve">Apache Qpid Proton-J</w:t>
      </w:r>
      <w:r>
        <w:t xml:space="preserve"> </w:t>
      </w:r>
      <w:r>
        <w:t xml:space="preserve">is a Java implementation from</w:t>
      </w:r>
      <w:r>
        <w:t xml:space="preserve"> </w:t>
      </w:r>
      <w:hyperlink w:anchor="apache-qpid-proton">
        <w:r>
          <w:rPr>
            <w:rStyle w:val="Hyperlink"/>
          </w:rPr>
          <w:t xml:space="preserve">apache Qpid Proton</w:t>
        </w:r>
      </w:hyperlink>
      <w:r>
        <w:t xml:space="preserve"> </w:t>
      </w:r>
      <w:r>
        <w:t xml:space="preserve">(https://qpid.apache.org/proton/index.html). While not directly tested in MET-SWIM implementations, it is expected to work reliably based on the proven track record of other Qpid Proton language implementations.</w:t>
      </w:r>
    </w:p>
    <w:bookmarkEnd w:id="87"/>
    <w:bookmarkStart w:id="88" w:name="dotnet"/>
    <w:p>
      <w:pPr>
        <w:pStyle w:val="Heading3"/>
      </w:pPr>
      <w:r>
        <w:rPr>
          <w:rStyle w:val="SectionNumber"/>
        </w:rPr>
        <w:t xml:space="preserve">10.2.5</w:t>
      </w:r>
      <w:r>
        <w:tab/>
      </w:r>
      <w:r>
        <w:t xml:space="preserve">DotNet</w:t>
      </w:r>
    </w:p>
    <w:p>
      <w:pPr>
        <w:pStyle w:val="Compact"/>
        <w:numPr>
          <w:ilvl w:val="0"/>
          <w:numId w:val="1036"/>
        </w:numPr>
      </w:pPr>
      <w:r>
        <w:rPr>
          <w:b/>
          <w:bCs/>
        </w:rPr>
        <w:t xml:space="preserve">Qpid Proton DotNet</w:t>
      </w:r>
      <w:r>
        <w:t xml:space="preserve"> </w:t>
      </w:r>
      <w:r>
        <w:t xml:space="preserve">- .NET implementation from</w:t>
      </w:r>
      <w:r>
        <w:t xml:space="preserve"> </w:t>
      </w:r>
      <w:hyperlink r:id="rId84">
        <w:r>
          <w:rPr>
            <w:rStyle w:val="Hyperlink"/>
          </w:rPr>
          <w:t xml:space="preserve">Apache Qpid Proton</w:t>
        </w:r>
      </w:hyperlink>
      <w:r>
        <w:t xml:space="preserve">, part of the same proven toolkit.</w:t>
      </w:r>
    </w:p>
    <w:p>
      <w:pPr>
        <w:pStyle w:val="FirstParagraph"/>
      </w:pPr>
      <w:r>
        <w:rPr>
          <w:b/>
          <w:bCs/>
        </w:rPr>
        <w:t xml:space="preserve">Note</w:t>
      </w:r>
      <w:r>
        <w:t xml:space="preserve">: At the time of writing, evidence of successful AMQP 1.0 implementations in other programming languages (such as Go, Ruby, PHP, or Rust) is limited. Organisations implementing MET-SWIM in these languages should verify compatibility with their chosen broker before deployment.</w:t>
      </w:r>
    </w:p>
    <w:bookmarkEnd w:id="88"/>
    <w:bookmarkEnd w:id="89"/>
    <w:bookmarkEnd w:id="90"/>
    <w:bookmarkStart w:id="94" w:name="amqp-message-examples"/>
    <w:p>
      <w:pPr>
        <w:pStyle w:val="Heading1"/>
      </w:pPr>
      <w:r>
        <w:rPr>
          <w:rStyle w:val="SectionNumber"/>
        </w:rPr>
        <w:t xml:space="preserve">11</w:t>
      </w:r>
      <w:r>
        <w:tab/>
      </w:r>
      <w:r>
        <w:t xml:space="preserve">AMQP Message Examples</w:t>
      </w:r>
    </w:p>
    <w:bookmarkStart w:id="91" w:name="metar-message-example"/>
    <w:p>
      <w:pPr>
        <w:pStyle w:val="Heading2"/>
      </w:pPr>
      <w:r>
        <w:rPr>
          <w:rStyle w:val="SectionNumber"/>
        </w:rPr>
        <w:t xml:space="preserve">11.1</w:t>
      </w:r>
      <w:r>
        <w:tab/>
      </w:r>
      <w:r>
        <w:t xml:space="preserve">METAR Message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weather.aviation.metar</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4</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"weather.aviation.metar"</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rPr>
          <w:rStyle w:val="FunctionTok"/>
        </w:rPr>
        <w:t xml:space="preserve">absolute-expiry-time</w:t>
      </w:r>
      <w:r>
        <w:rPr>
          <w:rStyle w:val="KeywordTok"/>
        </w:rPr>
        <w:t xml:space="preserve">:</w:t>
      </w:r>
      <w:r>
        <w:rPr>
          <w:rStyle w:val="AttributeTok"/>
        </w:rPr>
        <w:t xml:space="preserve"> </w:t>
      </w:r>
      <w:r>
        <w:rPr>
          <w:rStyle w:val="DecValTok"/>
        </w:rPr>
        <w:t xml:space="preserve">1744823400</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"https://eur-registry.swim.aero/services/eurocontrol-iwxxm-metar-speci-subscription-and-request-service-10"</w:t>
      </w:r>
      <w:r>
        <w:br/>
      </w:r>
      <w:r>
        <w:rPr>
          <w:rStyle w:val="FunctionTok"/>
        </w:rPr>
        <w:t xml:space="preserve">properties.issue_datetime</w:t>
      </w:r>
      <w:r>
        <w:rPr>
          <w:rStyle w:val="KeywordTok"/>
        </w:rPr>
        <w:t xml:space="preserve">:</w:t>
      </w:r>
      <w:r>
        <w:rPr>
          <w:rStyle w:val="AttributeTok"/>
        </w:rPr>
        <w:t xml:space="preserve"> </w:t>
      </w:r>
      <w:r>
        <w:rPr>
          <w:rStyle w:val="StringTok"/>
        </w:rPr>
        <w:t xml:space="preserve">"2025-04-15T12:02:00Z"</w:t>
      </w:r>
      <w:r>
        <w:br/>
      </w:r>
      <w:r>
        <w:rPr>
          <w:rStyle w:val="FunctionTok"/>
        </w:rPr>
        <w:t xml:space="preserve">properties.datetime</w:t>
      </w:r>
      <w:r>
        <w:rPr>
          <w:rStyle w:val="KeywordTok"/>
        </w:rPr>
        <w:t xml:space="preserve">:</w:t>
      </w:r>
      <w:r>
        <w:rPr>
          <w:rStyle w:val="AttributeTok"/>
        </w:rPr>
        <w:t xml:space="preserve"> </w:t>
      </w:r>
      <w:r>
        <w:rPr>
          <w:rStyle w:val="StringTok"/>
        </w:rPr>
        <w:t xml:space="preserve">"2025-04-15T12:00:00Z"</w:t>
      </w:r>
      <w:r>
        <w:br/>
      </w:r>
      <w:r>
        <w:rPr>
          <w:rStyle w:val="FunctionTok"/>
        </w:rPr>
        <w:t xml:space="preserve">properties.icao_location_identifier</w:t>
      </w:r>
      <w:r>
        <w:rPr>
          <w:rStyle w:val="KeywordTok"/>
        </w:rPr>
        <w:t xml:space="preserve">:</w:t>
      </w:r>
      <w:r>
        <w:rPr>
          <w:rStyle w:val="AttributeTok"/>
        </w:rPr>
        <w:t xml:space="preserve"> </w:t>
      </w:r>
      <w:r>
        <w:rPr>
          <w:rStyle w:val="StringTok"/>
        </w:rPr>
        <w:t xml:space="preserve">"EBBR"</w:t>
      </w:r>
      <w:r>
        <w:br/>
      </w:r>
      <w:r>
        <w:rPr>
          <w:rStyle w:val="FunctionTok"/>
        </w:rPr>
        <w:t xml:space="preserve">properties.icao_location_type</w:t>
      </w:r>
      <w:r>
        <w:rPr>
          <w:rStyle w:val="KeywordTok"/>
        </w:rPr>
        <w:t xml:space="preserve">:</w:t>
      </w:r>
      <w:r>
        <w:rPr>
          <w:rStyle w:val="AttributeTok"/>
        </w:rPr>
        <w:t xml:space="preserve"> </w:t>
      </w:r>
      <w:r>
        <w:rPr>
          <w:rStyle w:val="StringTok"/>
        </w:rPr>
        <w:t xml:space="preserve">"AD"</w:t>
      </w:r>
      <w:r>
        <w:br/>
      </w:r>
      <w:r>
        <w:rPr>
          <w:rStyle w:val="FunctionTok"/>
        </w:rPr>
        <w:t xml:space="preserve">properties.report_status</w:t>
      </w:r>
      <w:r>
        <w:rPr>
          <w:rStyle w:val="KeywordTok"/>
        </w:rPr>
        <w:t xml:space="preserve">:</w:t>
      </w:r>
      <w:r>
        <w:rPr>
          <w:rStyle w:val="AttributeTok"/>
        </w:rPr>
        <w:t xml:space="preserve"> </w:t>
      </w:r>
      <w:r>
        <w:rPr>
          <w:rStyle w:val="StringTok"/>
        </w:rPr>
        <w:t xml:space="preserve">"NORMAL"</w:t>
      </w:r>
      <w:r>
        <w:br/>
      </w:r>
      <w:r>
        <w:br/>
      </w:r>
      <w:r>
        <w:rPr>
          <w:rStyle w:val="CommentTok"/>
        </w:rPr>
        <w:t xml:space="preserve"># Payload</w:t>
      </w:r>
      <w:r>
        <w:br/>
      </w:r>
      <w:r>
        <w:rPr>
          <w:rStyle w:val="CommentTok"/>
        </w:rPr>
        <w:t xml:space="preserve"># [Gzipped IWXXM XML content]</w:t>
      </w:r>
    </w:p>
    <w:bookmarkEnd w:id="91"/>
    <w:bookmarkStart w:id="92" w:name="taf-amendment-example"/>
    <w:p>
      <w:pPr>
        <w:pStyle w:val="Heading2"/>
      </w:pPr>
      <w:r>
        <w:rPr>
          <w:rStyle w:val="SectionNumber"/>
        </w:rPr>
        <w:t xml:space="preserve">11.2</w:t>
      </w:r>
      <w:r>
        <w:tab/>
      </w:r>
      <w:r>
        <w:t xml:space="preserve">TAF Amendment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weather.aviation.taf</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5</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"weather.aviation.taf"</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"https://eur-registry.swim.aero/services/eurocontrol-iwxxm-taf-subscription-and-request-service-10"</w:t>
      </w:r>
      <w:r>
        <w:br/>
      </w:r>
      <w:r>
        <w:rPr>
          <w:rStyle w:val="FunctionTok"/>
        </w:rPr>
        <w:t xml:space="preserve">properties.issue_datetime</w:t>
      </w:r>
      <w:r>
        <w:rPr>
          <w:rStyle w:val="KeywordTok"/>
        </w:rPr>
        <w:t xml:space="preserve">:</w:t>
      </w:r>
      <w:r>
        <w:rPr>
          <w:rStyle w:val="AttributeTok"/>
        </w:rPr>
        <w:t xml:space="preserve"> </w:t>
      </w:r>
      <w:r>
        <w:rPr>
          <w:rStyle w:val="StringTok"/>
        </w:rPr>
        <w:t xml:space="preserve">"2025-04-01T06:45:00Z"</w:t>
      </w:r>
      <w:r>
        <w:br/>
      </w:r>
      <w:r>
        <w:rPr>
          <w:rStyle w:val="FunctionTok"/>
        </w:rPr>
        <w:t xml:space="preserve">properties.start_datetime</w:t>
      </w:r>
      <w:r>
        <w:rPr>
          <w:rStyle w:val="KeywordTok"/>
        </w:rPr>
        <w:t xml:space="preserve">:</w:t>
      </w:r>
      <w:r>
        <w:rPr>
          <w:rStyle w:val="AttributeTok"/>
        </w:rPr>
        <w:t xml:space="preserve"> </w:t>
      </w:r>
      <w:r>
        <w:rPr>
          <w:rStyle w:val="StringTok"/>
        </w:rPr>
        <w:t xml:space="preserve">"2025-04-01T06:00:00Z"</w:t>
      </w:r>
      <w:r>
        <w:br/>
      </w:r>
      <w:r>
        <w:rPr>
          <w:rStyle w:val="FunctionTok"/>
        </w:rPr>
        <w:t xml:space="preserve">properties.end_datetime</w:t>
      </w:r>
      <w:r>
        <w:rPr>
          <w:rStyle w:val="KeywordTok"/>
        </w:rPr>
        <w:t xml:space="preserve">:</w:t>
      </w:r>
      <w:r>
        <w:rPr>
          <w:rStyle w:val="AttributeTok"/>
        </w:rPr>
        <w:t xml:space="preserve"> </w:t>
      </w:r>
      <w:r>
        <w:rPr>
          <w:rStyle w:val="StringTok"/>
        </w:rPr>
        <w:t xml:space="preserve">"2025-04-02T06:00:00Z"</w:t>
      </w:r>
      <w:r>
        <w:br/>
      </w:r>
      <w:r>
        <w:rPr>
          <w:rStyle w:val="FunctionTok"/>
        </w:rPr>
        <w:t xml:space="preserve">properties.icao_location_identifier</w:t>
      </w:r>
      <w:r>
        <w:rPr>
          <w:rStyle w:val="KeywordTok"/>
        </w:rPr>
        <w:t xml:space="preserve">:</w:t>
      </w:r>
      <w:r>
        <w:rPr>
          <w:rStyle w:val="AttributeTok"/>
        </w:rPr>
        <w:t xml:space="preserve"> </w:t>
      </w:r>
      <w:r>
        <w:rPr>
          <w:rStyle w:val="StringTok"/>
        </w:rPr>
        <w:t xml:space="preserve">"LOWS"</w:t>
      </w:r>
      <w:r>
        <w:br/>
      </w:r>
      <w:r>
        <w:rPr>
          <w:rStyle w:val="FunctionTok"/>
        </w:rPr>
        <w:t xml:space="preserve">properties.icao_location_type</w:t>
      </w:r>
      <w:r>
        <w:rPr>
          <w:rStyle w:val="KeywordTok"/>
        </w:rPr>
        <w:t xml:space="preserve">:</w:t>
      </w:r>
      <w:r>
        <w:rPr>
          <w:rStyle w:val="AttributeTok"/>
        </w:rPr>
        <w:t xml:space="preserve"> </w:t>
      </w:r>
      <w:r>
        <w:rPr>
          <w:rStyle w:val="StringTok"/>
        </w:rPr>
        <w:t xml:space="preserve">"AD"</w:t>
      </w:r>
      <w:r>
        <w:br/>
      </w:r>
      <w:r>
        <w:rPr>
          <w:rStyle w:val="FunctionTok"/>
        </w:rPr>
        <w:t xml:space="preserve">properties.report_status</w:t>
      </w:r>
      <w:r>
        <w:rPr>
          <w:rStyle w:val="KeywordTok"/>
        </w:rPr>
        <w:t xml:space="preserve">:</w:t>
      </w:r>
      <w:r>
        <w:rPr>
          <w:rStyle w:val="AttributeTok"/>
        </w:rPr>
        <w:t xml:space="preserve"> </w:t>
      </w:r>
      <w:r>
        <w:rPr>
          <w:rStyle w:val="StringTok"/>
        </w:rPr>
        <w:t xml:space="preserve">"AMENDMENT"</w:t>
      </w:r>
    </w:p>
    <w:bookmarkEnd w:id="92"/>
    <w:bookmarkStart w:id="93" w:name="sigmet-example"/>
    <w:p>
      <w:pPr>
        <w:pStyle w:val="Heading2"/>
      </w:pPr>
      <w:r>
        <w:rPr>
          <w:rStyle w:val="SectionNumber"/>
        </w:rPr>
        <w:t xml:space="preserve">11.3</w:t>
      </w:r>
      <w:r>
        <w:tab/>
      </w:r>
      <w:r>
        <w:t xml:space="preserve">SIGMET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weather.aviation.sigmet</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7</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"weather.aviation.sigmet"</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rPr>
          <w:rStyle w:val="FunctionTok"/>
        </w:rPr>
        <w:t xml:space="preserve">absolute-expiry-time</w:t>
      </w:r>
      <w:r>
        <w:rPr>
          <w:rStyle w:val="KeywordTok"/>
        </w:rPr>
        <w:t xml:space="preserve">:</w:t>
      </w:r>
      <w:r>
        <w:rPr>
          <w:rStyle w:val="AttributeTok"/>
        </w:rPr>
        <w:t xml:space="preserve"> </w:t>
      </w:r>
      <w:r>
        <w:rPr>
          <w:rStyle w:val="DecValTok"/>
        </w:rPr>
        <w:t xml:space="preserve">1744813130</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"https://eur-registry.swim.aero/services/eurocontrol-iwxxm-sigmet-subscription-and-request-service-10"</w:t>
      </w:r>
      <w:r>
        <w:br/>
      </w:r>
      <w:r>
        <w:rPr>
          <w:rStyle w:val="FunctionTok"/>
        </w:rPr>
        <w:t xml:space="preserve">properties.issue_datetime</w:t>
      </w:r>
      <w:r>
        <w:rPr>
          <w:rStyle w:val="KeywordTok"/>
        </w:rPr>
        <w:t xml:space="preserve">:</w:t>
      </w:r>
      <w:r>
        <w:rPr>
          <w:rStyle w:val="AttributeTok"/>
        </w:rPr>
        <w:t xml:space="preserve"> </w:t>
      </w:r>
      <w:r>
        <w:rPr>
          <w:rStyle w:val="StringTok"/>
        </w:rPr>
        <w:t xml:space="preserve">"2025-04-15T14:10:00Z"</w:t>
      </w:r>
      <w:r>
        <w:br/>
      </w:r>
      <w:r>
        <w:rPr>
          <w:rStyle w:val="FunctionTok"/>
        </w:rPr>
        <w:t xml:space="preserve">properties.start_datetime</w:t>
      </w:r>
      <w:r>
        <w:rPr>
          <w:rStyle w:val="KeywordTok"/>
        </w:rPr>
        <w:t xml:space="preserve">:</w:t>
      </w:r>
      <w:r>
        <w:rPr>
          <w:rStyle w:val="AttributeTok"/>
        </w:rPr>
        <w:t xml:space="preserve"> </w:t>
      </w:r>
      <w:r>
        <w:rPr>
          <w:rStyle w:val="StringTok"/>
        </w:rPr>
        <w:t xml:space="preserve">"2025-04-15T14:30:00Z"</w:t>
      </w:r>
      <w:r>
        <w:br/>
      </w:r>
      <w:r>
        <w:rPr>
          <w:rStyle w:val="FunctionTok"/>
        </w:rPr>
        <w:t xml:space="preserve">properties.end_datetime</w:t>
      </w:r>
      <w:r>
        <w:rPr>
          <w:rStyle w:val="KeywordTok"/>
        </w:rPr>
        <w:t xml:space="preserve">:</w:t>
      </w:r>
      <w:r>
        <w:rPr>
          <w:rStyle w:val="AttributeTok"/>
        </w:rPr>
        <w:t xml:space="preserve"> </w:t>
      </w:r>
      <w:r>
        <w:rPr>
          <w:rStyle w:val="StringTok"/>
        </w:rPr>
        <w:t xml:space="preserve">"2025-04-15T18:00:00Z"</w:t>
      </w:r>
      <w:r>
        <w:br/>
      </w:r>
      <w:r>
        <w:rPr>
          <w:rStyle w:val="FunctionTok"/>
        </w:rPr>
        <w:t xml:space="preserve">properties.icao_location_identifier</w:t>
      </w:r>
      <w:r>
        <w:rPr>
          <w:rStyle w:val="KeywordTok"/>
        </w:rPr>
        <w:t xml:space="preserve">:</w:t>
      </w:r>
      <w:r>
        <w:rPr>
          <w:rStyle w:val="AttributeTok"/>
        </w:rPr>
        <w:t xml:space="preserve"> </w:t>
      </w:r>
      <w:r>
        <w:rPr>
          <w:rStyle w:val="StringTok"/>
        </w:rPr>
        <w:t xml:space="preserve">"UDDD"</w:t>
      </w:r>
      <w:r>
        <w:br/>
      </w:r>
      <w:r>
        <w:rPr>
          <w:rStyle w:val="FunctionTok"/>
        </w:rPr>
        <w:t xml:space="preserve">properties.icao_location_type</w:t>
      </w:r>
      <w:r>
        <w:rPr>
          <w:rStyle w:val="KeywordTok"/>
        </w:rPr>
        <w:t xml:space="preserve">:</w:t>
      </w:r>
      <w:r>
        <w:rPr>
          <w:rStyle w:val="AttributeTok"/>
        </w:rPr>
        <w:t xml:space="preserve"> </w:t>
      </w:r>
      <w:r>
        <w:rPr>
          <w:rStyle w:val="StringTok"/>
        </w:rPr>
        <w:t xml:space="preserve">"FIR"</w:t>
      </w:r>
      <w:r>
        <w:br/>
      </w:r>
      <w:r>
        <w:rPr>
          <w:rStyle w:val="FunctionTok"/>
        </w:rPr>
        <w:t xml:space="preserve">properties.report_status</w:t>
      </w:r>
      <w:r>
        <w:rPr>
          <w:rStyle w:val="KeywordTok"/>
        </w:rPr>
        <w:t xml:space="preserve">:</w:t>
      </w:r>
      <w:r>
        <w:rPr>
          <w:rStyle w:val="AttributeTok"/>
        </w:rPr>
        <w:t xml:space="preserve"> </w:t>
      </w:r>
      <w:r>
        <w:rPr>
          <w:rStyle w:val="StringTok"/>
        </w:rPr>
        <w:t xml:space="preserve">"NORMAL"</w:t>
      </w:r>
      <w:r>
        <w:br/>
      </w:r>
      <w:r>
        <w:br/>
      </w:r>
      <w:r>
        <w:rPr>
          <w:rStyle w:val="CommentTok"/>
        </w:rPr>
        <w:t xml:space="preserve"># Payload</w:t>
      </w:r>
      <w:r>
        <w:br/>
      </w:r>
      <w:r>
        <w:rPr>
          <w:rStyle w:val="CommentTok"/>
        </w:rPr>
        <w:t xml:space="preserve"># [Gzipped IWXXM XML content]</w:t>
      </w:r>
    </w:p>
    <w:bookmarkEnd w:id="93"/>
    <w:bookmarkEnd w:id="94"/>
    <w:bookmarkStart w:id="101" w:name="appendices"/>
    <w:p>
      <w:pPr>
        <w:pStyle w:val="Heading1"/>
      </w:pPr>
      <w:r>
        <w:rPr>
          <w:rStyle w:val="SectionNumber"/>
        </w:rPr>
        <w:t xml:space="preserve">12</w:t>
      </w:r>
      <w:r>
        <w:tab/>
      </w:r>
      <w:r>
        <w:t xml:space="preserve">Appendices</w:t>
      </w:r>
    </w:p>
    <w:bookmarkStart w:id="100" w:name="X2da3409e08a904e6ce6416ba0a9128add87b120"/>
    <w:p>
      <w:pPr>
        <w:pStyle w:val="Heading2"/>
      </w:pPr>
      <w:r>
        <w:rPr>
          <w:rStyle w:val="SectionNumber"/>
        </w:rPr>
        <w:t xml:space="preserve">12.1</w:t>
      </w:r>
      <w:r>
        <w:tab/>
      </w:r>
      <w:r>
        <w:t xml:space="preserve">Appendix A: Property Extraction from IWXXM</w:t>
      </w:r>
    </w:p>
    <w:p>
      <w:pPr>
        <w:pStyle w:val="FirstParagraph"/>
      </w:pPr>
      <w:r>
        <w:t xml:space="preserve">This appendix provides comprehensive guidance for extracting AMQP application properties from IWXXM XML documents. IWXXM (ICAO Meteorological Information Exchange Model) documents follow a structured format defined by XML schemas that include multiple namespaces.</w:t>
      </w:r>
    </w:p>
    <w:bookmarkStart w:id="97" w:name="required-xml-namespaces"/>
    <w:p>
      <w:pPr>
        <w:pStyle w:val="Heading3"/>
      </w:pPr>
      <w:r>
        <w:rPr>
          <w:rStyle w:val="SectionNumber"/>
        </w:rPr>
        <w:t xml:space="preserve">12.1.1</w:t>
      </w:r>
      <w:r>
        <w:tab/>
      </w:r>
      <w:r>
        <w:t xml:space="preserve">Required XML Namespaces</w:t>
      </w:r>
    </w:p>
    <w:p>
      <w:pPr>
        <w:pStyle w:val="FirstParagraph"/>
      </w:pPr>
      <w:r>
        <w:t xml:space="preserve">When processing IWXXM documents, XML namespaces must be properly detected and handled.</w:t>
      </w:r>
      <w:r>
        <w:t xml:space="preserve"> </w:t>
      </w:r>
      <w:r>
        <w:rPr>
          <w:b/>
          <w:bCs/>
        </w:rPr>
        <w:t xml:space="preserve">IWXXM versions and their namespace URIs change over time</w:t>
      </w:r>
      <w:r>
        <w:t xml:space="preserve">, so implementations should use</w:t>
      </w:r>
      <w:r>
        <w:t xml:space="preserve"> </w:t>
      </w:r>
      <w:r>
        <w:rPr>
          <w:b/>
          <w:bCs/>
        </w:rPr>
        <w:t xml:space="preserve">version-agnostic namespace detection</w:t>
      </w:r>
      <w:r>
        <w:t xml:space="preserve"> </w:t>
      </w:r>
      <w:r>
        <w:t xml:space="preserve">rather than hardcoded URIs.</w:t>
      </w:r>
    </w:p>
    <w:p>
      <w:pPr>
        <w:pStyle w:val="BodyText"/>
      </w:pPr>
      <w:r>
        <w:rPr>
          <w:b/>
          <w:bCs/>
        </w:rPr>
        <w:t xml:space="preserve">Current IWXXM Schema Location</w:t>
      </w:r>
      <w:r>
        <w:t xml:space="preserve">:</w:t>
      </w:r>
      <w:r>
        <w:t xml:space="preserve"> </w:t>
      </w:r>
      <w:hyperlink r:id="rId95">
        <w:r>
          <w:rPr>
            <w:rStyle w:val="Hyperlink"/>
          </w:rPr>
          <w:t xml:space="preserve">https://schemas.wmo.int/iwxxm/2023-1/</w:t>
        </w:r>
      </w:hyperlink>
    </w:p>
    <w:p>
      <w:pPr>
        <w:pStyle w:val="BodyText"/>
      </w:pPr>
      <w:r>
        <w:rPr>
          <w:b/>
          <w:bCs/>
        </w:rPr>
        <w:t xml:space="preserve">Dynamic Namespace Detection</w:t>
      </w:r>
      <w:r>
        <w:t xml:space="preserve">:</w:t>
      </w:r>
    </w:p>
    <w:p>
      <w:pPr>
        <w:pStyle w:val="BodyText"/>
      </w:pPr>
      <w:r>
        <w:t xml:space="preserve">Instead of hardcoding specific version URIs, detect namespaces dynamically by their common prefixes:</w:t>
      </w:r>
    </w:p>
    <w:tbl>
      <w:tblPr>
        <w:tblStyle w:val="Table"/>
        <w:tblW w:type="pct" w:w="5000"/>
        <w:tblLayout w:type="fixed"/>
        <w:tblLook w:firstRow="1" w:lastRow="0" w:firstColumn="0" w:lastColumn="0" w:noHBand="0" w:noVBand="0" w:val="0020"/>
      </w:tblPr>
      <w:tblGrid>
        <w:gridCol w:w="2909"/>
        <w:gridCol w:w="3555"/>
        <w:gridCol w:w="1454"/>
      </w:tblGrid>
      <w:tr>
        <w:trPr>
          <w:tblHeader w:val="on"/>
        </w:trPr>
        <w:tc>
          <w:tcPr/>
          <w:p>
            <w:pPr>
              <w:pStyle w:val="Compact"/>
            </w:pPr>
            <w:r>
              <w:t xml:space="preserve">Namespace Family</w:t>
            </w:r>
          </w:p>
        </w:tc>
        <w:tc>
          <w:tcPr/>
          <w:p>
            <w:pPr>
              <w:pStyle w:val="Compact"/>
            </w:pPr>
            <w:r>
              <w:t xml:space="preserve">Common Prefix Pattern</w:t>
            </w:r>
          </w:p>
        </w:tc>
        <w:tc>
          <w:tcPr/>
          <w:p>
            <w:pPr>
              <w:pStyle w:val="Compact"/>
            </w:pPr>
            <w:r>
              <w:t xml:space="preserve">Purpose</w:t>
            </w:r>
          </w:p>
        </w:tc>
      </w:tr>
      <w:tr>
        <w:tc>
          <w:tcPr/>
          <w:p>
            <w:pPr>
              <w:pStyle w:val="Compact"/>
            </w:pPr>
            <w:r>
              <w:t xml:space="preserve">IWXXM</w:t>
            </w:r>
          </w:p>
        </w:tc>
        <w:tc>
          <w:tcPr/>
          <w:p>
            <w:pPr>
              <w:pStyle w:val="Compact"/>
            </w:pPr>
            <w:r>
              <w:rPr>
                <w:rStyle w:val="VerbatimChar"/>
              </w:rPr>
              <w:t xml:space="preserve">http://icao.int/iwxxm/</w:t>
            </w:r>
            <w:r>
              <w:t xml:space="preserve"> </w:t>
            </w:r>
            <w:r>
              <w:t xml:space="preserve">or</w:t>
            </w:r>
            <w:r>
              <w:t xml:space="preserve"> </w:t>
            </w:r>
            <w:r>
              <w:rPr>
                <w:rStyle w:val="VerbatimChar"/>
              </w:rPr>
              <w:t xml:space="preserve">https://schemas.wmo.int/iwxxm/</w:t>
            </w:r>
          </w:p>
        </w:tc>
        <w:tc>
          <w:tcPr/>
          <w:p>
            <w:pPr>
              <w:pStyle w:val="Compact"/>
            </w:pPr>
            <w:r>
              <w:t xml:space="preserve">IWXXM meteorological reports</w:t>
            </w:r>
          </w:p>
        </w:tc>
      </w:tr>
      <w:tr>
        <w:tc>
          <w:tcPr/>
          <w:p>
            <w:pPr>
              <w:pStyle w:val="Compact"/>
            </w:pPr>
            <w:r>
              <w:t xml:space="preserve">AIXM</w:t>
            </w:r>
          </w:p>
        </w:tc>
        <w:tc>
          <w:tcPr/>
          <w:p>
            <w:pPr>
              <w:pStyle w:val="Compact"/>
            </w:pPr>
            <w:r>
              <w:rPr>
                <w:rStyle w:val="VerbatimChar"/>
              </w:rPr>
              <w:t xml:space="preserve">http://www.aixm.aero/schema/</w:t>
            </w:r>
          </w:p>
        </w:tc>
        <w:tc>
          <w:tcPr/>
          <w:p>
            <w:pPr>
              <w:pStyle w:val="Compact"/>
            </w:pPr>
            <w:r>
              <w:t xml:space="preserve">Aeronautical information (airports, airspace)</w:t>
            </w:r>
          </w:p>
        </w:tc>
      </w:tr>
      <w:tr>
        <w:tc>
          <w:tcPr/>
          <w:p>
            <w:pPr>
              <w:pStyle w:val="Compact"/>
            </w:pPr>
            <w:r>
              <w:t xml:space="preserve">GML</w:t>
            </w:r>
          </w:p>
        </w:tc>
        <w:tc>
          <w:tcPr/>
          <w:p>
            <w:pPr>
              <w:pStyle w:val="Compact"/>
            </w:pPr>
            <w:r>
              <w:rPr>
                <w:rStyle w:val="VerbatimChar"/>
              </w:rPr>
              <w:t xml:space="preserve">http://www.opengis.net/gml/</w:t>
            </w:r>
          </w:p>
        </w:tc>
        <w:tc>
          <w:tcPr/>
          <w:p>
            <w:pPr>
              <w:pStyle w:val="Compact"/>
            </w:pPr>
            <w:r>
              <w:t xml:space="preserve">Geographic markup language</w:t>
            </w:r>
          </w:p>
        </w:tc>
      </w:tr>
    </w:tbl>
    <w:p>
      <w:pPr>
        <w:pStyle w:val="BodyText"/>
      </w:pPr>
      <w:r>
        <w:rPr>
          <w:b/>
          <w:bCs/>
        </w:rPr>
        <w:t xml:space="preserve">Implementation Approach for Namespace Detection</w:t>
      </w:r>
      <w:r>
        <w:t xml:space="preserve">:</w:t>
      </w:r>
    </w:p>
    <w:p>
      <w:pPr>
        <w:pStyle w:val="Compact"/>
        <w:numPr>
          <w:ilvl w:val="0"/>
          <w:numId w:val="1037"/>
        </w:numPr>
      </w:pPr>
      <w:r>
        <w:rPr>
          <w:b/>
          <w:bCs/>
        </w:rPr>
        <w:t xml:space="preserve">Parse the XML document</w:t>
      </w:r>
      <w:r>
        <w:t xml:space="preserve"> </w:t>
      </w:r>
      <w:r>
        <w:t xml:space="preserve">and access the root element</w:t>
      </w:r>
    </w:p>
    <w:p>
      <w:pPr>
        <w:pStyle w:val="Compact"/>
        <w:numPr>
          <w:ilvl w:val="0"/>
          <w:numId w:val="1037"/>
        </w:numPr>
      </w:pPr>
      <w:r>
        <w:rPr>
          <w:b/>
          <w:bCs/>
        </w:rPr>
        <w:t xml:space="preserve">Extract all namespace declarations</w:t>
      </w:r>
      <w:r>
        <w:t xml:space="preserve"> </w:t>
      </w:r>
      <w:r>
        <w:t xml:space="preserve">from the document (typically available through the XML parser’s namespace map or similar functionality)</w:t>
      </w:r>
    </w:p>
    <w:p>
      <w:pPr>
        <w:pStyle w:val="Compact"/>
        <w:numPr>
          <w:ilvl w:val="0"/>
          <w:numId w:val="1037"/>
        </w:numPr>
      </w:pPr>
      <w:r>
        <w:rPr>
          <w:b/>
          <w:bCs/>
        </w:rPr>
        <w:t xml:space="preserve">Iterate through namespace URIs</w:t>
      </w:r>
      <w:r>
        <w:t xml:space="preserve"> </w:t>
      </w:r>
      <w:r>
        <w:t xml:space="preserve">and match them against the common prefix patterns shown in the table above</w:t>
      </w:r>
    </w:p>
    <w:p>
      <w:pPr>
        <w:pStyle w:val="Compact"/>
        <w:numPr>
          <w:ilvl w:val="0"/>
          <w:numId w:val="1037"/>
        </w:numPr>
      </w:pPr>
      <w:r>
        <w:rPr>
          <w:b/>
          <w:bCs/>
        </w:rPr>
        <w:t xml:space="preserve">Build a namespace mapping</w:t>
      </w:r>
      <w:r>
        <w:t xml:space="preserve"> </w:t>
      </w:r>
      <w:r>
        <w:t xml:space="preserve">that maps logical prefixes (</w:t>
      </w:r>
      <w:r>
        <w:rPr>
          <w:rStyle w:val="VerbatimChar"/>
        </w:rPr>
        <w:t xml:space="preserve">iwxxm</w:t>
      </w:r>
      <w:r>
        <w:t xml:space="preserve">,</w:t>
      </w:r>
      <w:r>
        <w:t xml:space="preserve"> </w:t>
      </w:r>
      <w:r>
        <w:rPr>
          <w:rStyle w:val="VerbatimChar"/>
        </w:rPr>
        <w:t xml:space="preserve">aixm</w:t>
      </w:r>
      <w:r>
        <w:t xml:space="preserve">,</w:t>
      </w:r>
      <w:r>
        <w:t xml:space="preserve"> </w:t>
      </w:r>
      <w:r>
        <w:rPr>
          <w:rStyle w:val="VerbatimChar"/>
        </w:rPr>
        <w:t xml:space="preserve">gml</w:t>
      </w:r>
      <w:r>
        <w:t xml:space="preserve">, etc.) to the actual namespace URIs found in the document</w:t>
      </w:r>
    </w:p>
    <w:p>
      <w:pPr>
        <w:pStyle w:val="Compact"/>
        <w:numPr>
          <w:ilvl w:val="0"/>
          <w:numId w:val="1037"/>
        </w:numPr>
      </w:pPr>
      <w:r>
        <w:rPr>
          <w:b/>
          <w:bCs/>
        </w:rPr>
        <w:t xml:space="preserve">Use this mapping</w:t>
      </w:r>
      <w:r>
        <w:t xml:space="preserve"> </w:t>
      </w:r>
      <w:r>
        <w:t xml:space="preserve">when constructing XPath expressions for data extraction</w:t>
      </w:r>
    </w:p>
    <w:p>
      <w:pPr>
        <w:pStyle w:val="FirstParagraph"/>
      </w:pPr>
      <w:r>
        <w:rPr>
          <w:b/>
          <w:bCs/>
        </w:rPr>
        <w:t xml:space="preserve">Python Implementation</w:t>
      </w:r>
      <w:r>
        <w:t xml:space="preserve">: The</w:t>
      </w:r>
      <w:r>
        <w:t xml:space="preserve"> </w:t>
      </w:r>
      <w:hyperlink r:id="rId96">
        <w:r>
          <w:rPr>
            <w:rStyle w:val="Hyperlink"/>
          </w:rPr>
          <w:t xml:space="preserve">IBL swimdemo iwxxm_utils.py</w:t>
        </w:r>
      </w:hyperlink>
      <w:r>
        <w:t xml:space="preserve"> </w:t>
      </w:r>
      <w:r>
        <w:t xml:space="preserve">provides a working example of this approach.</w:t>
      </w:r>
    </w:p>
    <w:p>
      <w:pPr>
        <w:pStyle w:val="BodyText"/>
      </w:pPr>
      <w:r>
        <w:rPr>
          <w:b/>
          <w:bCs/>
        </w:rPr>
        <w:t xml:space="preserve">Older vs. Current Namespace Examples</w:t>
      </w:r>
      <w:r>
        <w:t xml:space="preserve">:</w:t>
      </w:r>
    </w:p>
    <w:p>
      <w:pPr>
        <w:pStyle w:val="SourceCode"/>
      </w:pPr>
      <w:r>
        <w:rPr>
          <w:rStyle w:val="CommentTok"/>
        </w:rPr>
        <w:t xml:space="preserve">&lt;!-- Legacy IWXXM --&gt;</w:t>
      </w:r>
      <w:r>
        <w:br/>
      </w:r>
      <w:r>
        <w:rPr>
          <w:rStyle w:val="NormalTok"/>
        </w:rPr>
        <w:t xml:space="preserve">xmlns:iwxxm="http://icao.int/iwxxm/3.0"</w:t>
      </w:r>
      <w:r>
        <w:br/>
      </w:r>
      <w:r>
        <w:rPr>
          <w:rStyle w:val="NormalTok"/>
        </w:rPr>
        <w:t xml:space="preserve">xmlns:aixm="http://www.aixm.aero/schema/5.1.1"</w:t>
      </w:r>
      <w:r>
        <w:br/>
      </w:r>
      <w:r>
        <w:rPr>
          <w:rStyle w:val="NormalTok"/>
        </w:rPr>
        <w:t xml:space="preserve">xmlns:gml="http://www.opengis.net/gml/3.2"</w:t>
      </w:r>
      <w:r>
        <w:br/>
      </w:r>
      <w:r>
        <w:br/>
      </w:r>
      <w:r>
        <w:rPr>
          <w:rStyle w:val="CommentTok"/>
        </w:rPr>
        <w:t xml:space="preserve">&lt;!-- Current IWXXM --&gt;</w:t>
      </w:r>
      <w:r>
        <w:br/>
      </w:r>
      <w:r>
        <w:rPr>
          <w:rStyle w:val="NormalTok"/>
        </w:rPr>
        <w:t xml:space="preserve">xmlns:iwxxm="https://schemas.wmo.int/iwxxm/2023-1"</w:t>
      </w:r>
      <w:r>
        <w:br/>
      </w:r>
      <w:r>
        <w:rPr>
          <w:rStyle w:val="NormalTok"/>
        </w:rPr>
        <w:t xml:space="preserve">xmlns:aixm="http://www.aixm.aero/schema/5.1.1"</w:t>
      </w:r>
      <w:r>
        <w:br/>
      </w:r>
      <w:r>
        <w:rPr>
          <w:rStyle w:val="NormalTok"/>
        </w:rPr>
        <w:t xml:space="preserve">xmlns:gml="http://www.opengis.net/gml/3.2"</w:t>
      </w:r>
    </w:p>
    <w:p>
      <w:pPr>
        <w:pStyle w:val="BlockText"/>
      </w:pPr>
      <w:r>
        <w:rPr>
          <w:b/>
          <w:bCs/>
        </w:rPr>
        <w:t xml:space="preserve">Note</w:t>
      </w:r>
      <w:r>
        <w:t xml:space="preserve">: Always detect namespaces dynamically from the actual XML document rather than assuming specific versions. This ensures compatibility with both legacy and current IWXXM implementations.</w:t>
      </w:r>
    </w:p>
    <w:bookmarkEnd w:id="97"/>
    <w:bookmarkStart w:id="98" w:name="document-structure-overview"/>
    <w:p>
      <w:pPr>
        <w:pStyle w:val="Heading3"/>
      </w:pPr>
      <w:r>
        <w:rPr>
          <w:rStyle w:val="SectionNumber"/>
        </w:rPr>
        <w:t xml:space="preserve">12.1.2</w:t>
      </w:r>
      <w:r>
        <w:tab/>
      </w:r>
      <w:r>
        <w:t xml:space="preserve">Document Structure Overview</w:t>
      </w:r>
    </w:p>
    <w:p>
      <w:pPr>
        <w:pStyle w:val="FirstParagraph"/>
      </w:pPr>
      <w:r>
        <w:t xml:space="preserve">IWXXM documents have different root elements depending on the report type:</w:t>
      </w:r>
    </w:p>
    <w:p>
      <w:pPr>
        <w:pStyle w:val="Compact"/>
        <w:numPr>
          <w:ilvl w:val="0"/>
          <w:numId w:val="1038"/>
        </w:numPr>
      </w:pPr>
      <w:r>
        <w:rPr>
          <w:b/>
          <w:bCs/>
        </w:rPr>
        <w:t xml:space="preserve">METAR/SPECI</w:t>
      </w:r>
      <w:r>
        <w:t xml:space="preserve">:</w:t>
      </w:r>
      <w:r>
        <w:t xml:space="preserve"> </w:t>
      </w:r>
      <w:r>
        <w:rPr>
          <w:rStyle w:val="VerbatimChar"/>
        </w:rPr>
        <w:t xml:space="preserve">&lt;iwxxm:METAR&gt;</w:t>
      </w:r>
    </w:p>
    <w:p>
      <w:pPr>
        <w:pStyle w:val="Compact"/>
        <w:numPr>
          <w:ilvl w:val="0"/>
          <w:numId w:val="1038"/>
        </w:numPr>
      </w:pPr>
      <w:r>
        <w:rPr>
          <w:b/>
          <w:bCs/>
        </w:rPr>
        <w:t xml:space="preserve">TAF</w:t>
      </w:r>
      <w:r>
        <w:t xml:space="preserve">:</w:t>
      </w:r>
      <w:r>
        <w:t xml:space="preserve"> </w:t>
      </w:r>
      <w:r>
        <w:rPr>
          <w:rStyle w:val="VerbatimChar"/>
        </w:rPr>
        <w:t xml:space="preserve">&lt;iwxxm:TAF&gt;</w:t>
      </w:r>
    </w:p>
    <w:p>
      <w:pPr>
        <w:pStyle w:val="Compact"/>
        <w:numPr>
          <w:ilvl w:val="0"/>
          <w:numId w:val="1038"/>
        </w:numPr>
      </w:pPr>
      <w:r>
        <w:rPr>
          <w:b/>
          <w:bCs/>
        </w:rPr>
        <w:t xml:space="preserve">SIGMET</w:t>
      </w:r>
      <w:r>
        <w:t xml:space="preserve">:</w:t>
      </w:r>
      <w:r>
        <w:t xml:space="preserve"> </w:t>
      </w:r>
      <w:r>
        <w:rPr>
          <w:rStyle w:val="VerbatimChar"/>
        </w:rPr>
        <w:t xml:space="preserve">&lt;iwxxm:SIGMET&gt;</w:t>
      </w:r>
    </w:p>
    <w:p>
      <w:pPr>
        <w:pStyle w:val="FirstParagraph"/>
      </w:pPr>
      <w:r>
        <w:t xml:space="preserve">Each document contains:</w:t>
      </w:r>
    </w:p>
    <w:p>
      <w:pPr>
        <w:pStyle w:val="Compact"/>
        <w:numPr>
          <w:ilvl w:val="0"/>
          <w:numId w:val="1039"/>
        </w:numPr>
      </w:pPr>
      <w:r>
        <w:rPr>
          <w:b/>
          <w:bCs/>
        </w:rPr>
        <w:t xml:space="preserve">Report metadata</w:t>
      </w:r>
      <w:r>
        <w:t xml:space="preserve"> </w:t>
      </w:r>
      <w:r>
        <w:t xml:space="preserve">(issue time, status, location references)</w:t>
      </w:r>
    </w:p>
    <w:p>
      <w:pPr>
        <w:pStyle w:val="Compact"/>
        <w:numPr>
          <w:ilvl w:val="0"/>
          <w:numId w:val="1039"/>
        </w:numPr>
      </w:pPr>
      <w:r>
        <w:rPr>
          <w:b/>
          <w:bCs/>
        </w:rPr>
        <w:t xml:space="preserve">Validity period</w:t>
      </w:r>
      <w:r>
        <w:t xml:space="preserve"> </w:t>
      </w:r>
      <w:r>
        <w:t xml:space="preserve">(for TAF and SIGMET)</w:t>
      </w:r>
    </w:p>
    <w:p>
      <w:pPr>
        <w:pStyle w:val="Compact"/>
        <w:numPr>
          <w:ilvl w:val="0"/>
          <w:numId w:val="1039"/>
        </w:numPr>
      </w:pPr>
      <w:r>
        <w:rPr>
          <w:b/>
          <w:bCs/>
        </w:rPr>
        <w:t xml:space="preserve">Observation time</w:t>
      </w:r>
      <w:r>
        <w:t xml:space="preserve"> </w:t>
      </w:r>
      <w:r>
        <w:t xml:space="preserve">(for METAR/SPECI)</w:t>
      </w:r>
    </w:p>
    <w:p>
      <w:pPr>
        <w:pStyle w:val="Compact"/>
        <w:numPr>
          <w:ilvl w:val="0"/>
          <w:numId w:val="1039"/>
        </w:numPr>
      </w:pPr>
      <w:r>
        <w:rPr>
          <w:b/>
          <w:bCs/>
        </w:rPr>
        <w:t xml:space="preserve">Location information</w:t>
      </w:r>
      <w:r>
        <w:t xml:space="preserve"> </w:t>
      </w:r>
      <w:r>
        <w:t xml:space="preserve">(aerodrome or airspace references)</w:t>
      </w:r>
    </w:p>
    <w:p>
      <w:pPr>
        <w:pStyle w:val="Compact"/>
        <w:numPr>
          <w:ilvl w:val="0"/>
          <w:numId w:val="1039"/>
        </w:numPr>
      </w:pPr>
      <w:r>
        <w:rPr>
          <w:b/>
          <w:bCs/>
        </w:rPr>
        <w:t xml:space="preserve">Meteorological content</w:t>
      </w:r>
      <w:r>
        <w:t xml:space="preserve"> </w:t>
      </w:r>
      <w:r>
        <w:t xml:space="preserve">(actual weather observations/forecasts)</w:t>
      </w:r>
    </w:p>
    <w:bookmarkEnd w:id="98"/>
    <w:bookmarkStart w:id="99" w:name="property-extraction-reference"/>
    <w:p>
      <w:pPr>
        <w:pStyle w:val="Heading3"/>
      </w:pPr>
      <w:r>
        <w:rPr>
          <w:rStyle w:val="SectionNumber"/>
        </w:rPr>
        <w:t xml:space="preserve">12.1.3</w:t>
      </w:r>
      <w:r>
        <w:tab/>
      </w:r>
      <w:r>
        <w:t xml:space="preserve">Property Extraction Reference</w:t>
      </w:r>
    </w:p>
    <w:p>
      <w:pPr>
        <w:pStyle w:val="FirstParagraph"/>
      </w:pPr>
      <w:r>
        <w:t xml:space="preserve">The table below summarises which IWXXM XML elements or attributes contain the information necessary to populate the message and application properties in AMQP.</w:t>
      </w:r>
    </w:p>
    <w:p>
      <w:pPr>
        <w:pStyle w:val="BodyText"/>
      </w:pPr>
      <w:r>
        <w:t xml:space="preserve">The guidance is compatible with IWXXM 3.0 and subsequent versions such as 2021-2 or 2023-1. It is not compatible with IWXXM 2.1 which had significantly different structure due to the usage of OM (Observation Model) schema. IWXXM 3.0 abandoned the Observation Model schema around 2018.</w:t>
      </w:r>
    </w:p>
    <w:tbl>
      <w:tblPr>
        <w:tblStyle w:val="Table"/>
        <w:tblW w:type="pct" w:w="5000"/>
        <w:tblLayout w:type="fixed"/>
        <w:tblLook w:firstRow="1" w:lastRow="0" w:firstColumn="0" w:lastColumn="0" w:noHBand="0" w:noVBand="0" w:val="0020"/>
      </w:tblPr>
      <w:tblGrid>
        <w:gridCol w:w="1584"/>
        <w:gridCol w:w="1478"/>
        <w:gridCol w:w="1900"/>
        <w:gridCol w:w="1372"/>
        <w:gridCol w:w="1584"/>
      </w:tblGrid>
      <w:tr>
        <w:trPr>
          <w:tblHeader w:val="on"/>
        </w:trPr>
        <w:tc>
          <w:tcPr/>
          <w:p>
            <w:pPr>
              <w:pStyle w:val="Compact"/>
            </w:pPr>
            <w:r>
              <w:t xml:space="preserve">AMQP Property</w:t>
            </w:r>
          </w:p>
        </w:tc>
        <w:tc>
          <w:tcPr/>
          <w:p>
            <w:pPr>
              <w:pStyle w:val="Compact"/>
            </w:pPr>
            <w:r>
              <w:t xml:space="preserve">Report Types</w:t>
            </w:r>
          </w:p>
        </w:tc>
        <w:tc>
          <w:tcPr/>
          <w:p>
            <w:pPr>
              <w:pStyle w:val="Compact"/>
            </w:pPr>
            <w:r>
              <w:t xml:space="preserve">XPath Expression</w:t>
            </w:r>
          </w:p>
        </w:tc>
        <w:tc>
          <w:tcPr/>
          <w:p>
            <w:pPr>
              <w:pStyle w:val="Compact"/>
            </w:pPr>
            <w:r>
              <w:t xml:space="preserve">Description</w:t>
            </w:r>
          </w:p>
        </w:tc>
        <w:tc>
          <w:tcPr/>
          <w:p>
            <w:pPr>
              <w:pStyle w:val="Compact"/>
            </w:pPr>
            <w:r>
              <w:t xml:space="preserve">Example Value</w:t>
            </w:r>
          </w:p>
        </w:tc>
      </w:tr>
      <w:tr>
        <w:tc>
          <w:tcPr/>
          <w:p>
            <w:pPr>
              <w:pStyle w:val="Compact"/>
            </w:pPr>
            <w:r>
              <w:rPr>
                <w:rStyle w:val="VerbatimChar"/>
              </w:rPr>
              <w:t xml:space="preserve">properties.issue_datetime</w:t>
            </w:r>
          </w:p>
        </w:tc>
        <w:tc>
          <w:tcPr/>
          <w:p>
            <w:pPr>
              <w:pStyle w:val="Compact"/>
            </w:pPr>
            <w:r>
              <w:t xml:space="preserve">ALL</w:t>
            </w:r>
          </w:p>
        </w:tc>
        <w:tc>
          <w:tcPr/>
          <w:p>
            <w:pPr>
              <w:pStyle w:val="Compact"/>
            </w:pPr>
            <w:r>
              <w:rPr>
                <w:rStyle w:val="VerbatimChar"/>
              </w:rPr>
              <w:t xml:space="preserve">/iwxxm:*/iwxxm:issueTime</w:t>
            </w:r>
          </w:p>
        </w:tc>
        <w:tc>
          <w:tcPr/>
          <w:p>
            <w:pPr>
              <w:pStyle w:val="Compact"/>
            </w:pPr>
            <w:r>
              <w:t xml:space="preserve">Issue/publication time from root element</w:t>
            </w:r>
          </w:p>
        </w:tc>
        <w:tc>
          <w:tcPr/>
          <w:p>
            <w:pPr>
              <w:pStyle w:val="Compact"/>
            </w:pPr>
            <w:r>
              <w:rPr>
                <w:rStyle w:val="VerbatimChar"/>
              </w:rPr>
              <w:t xml:space="preserve">2025-04-15T14:10:00Z</w:t>
            </w:r>
          </w:p>
        </w:tc>
      </w:tr>
      <w:tr>
        <w:tc>
          <w:tcPr/>
          <w:p>
            <w:pPr>
              <w:pStyle w:val="Compact"/>
            </w:pPr>
            <w:r>
              <w:rPr>
                <w:rStyle w:val="VerbatimChar"/>
              </w:rPr>
              <w:t xml:space="preserve">properties.datetime</w:t>
            </w:r>
          </w:p>
        </w:tc>
        <w:tc>
          <w:tcPr/>
          <w:p>
            <w:pPr>
              <w:pStyle w:val="Compact"/>
            </w:pPr>
            <w:r>
              <w:t xml:space="preserve">METAR, SPECI</w:t>
            </w:r>
          </w:p>
        </w:tc>
        <w:tc>
          <w:tcPr/>
          <w:p>
            <w:pPr>
              <w:pStyle w:val="Compact"/>
            </w:pPr>
            <w:r>
              <w:rPr>
                <w:rStyle w:val="VerbatimChar"/>
              </w:rPr>
              <w:t xml:space="preserve">/iwxxm:METAR/iwxxm:observationTime</w:t>
            </w:r>
          </w:p>
        </w:tc>
        <w:tc>
          <w:tcPr/>
          <w:p>
            <w:pPr>
              <w:pStyle w:val="Compact"/>
            </w:pPr>
            <w:r>
              <w:t xml:space="preserve">Observation time</w:t>
            </w:r>
          </w:p>
        </w:tc>
        <w:tc>
          <w:tcPr/>
          <w:p>
            <w:pPr>
              <w:pStyle w:val="Compact"/>
            </w:pPr>
            <w:r>
              <w:rPr>
                <w:rStyle w:val="VerbatimChar"/>
              </w:rPr>
              <w:t xml:space="preserve">2025-03-31T03:00:00Z</w:t>
            </w:r>
          </w:p>
        </w:tc>
      </w:tr>
      <w:tr>
        <w:tc>
          <w:tcPr/>
          <w:p>
            <w:pPr>
              <w:pStyle w:val="Compact"/>
            </w:pPr>
            <w:r>
              <w:rPr>
                <w:rStyle w:val="VerbatimChar"/>
              </w:rPr>
              <w:t xml:space="preserve">properties.start_datetime</w:t>
            </w:r>
          </w:p>
        </w:tc>
        <w:tc>
          <w:tcPr/>
          <w:p>
            <w:pPr>
              <w:pStyle w:val="Compact"/>
            </w:pPr>
            <w:r>
              <w:t xml:space="preserve">TAF, SIGMET</w:t>
            </w:r>
          </w:p>
        </w:tc>
        <w:tc>
          <w:tcPr/>
          <w:p>
            <w:pPr>
              <w:pStyle w:val="Compact"/>
            </w:pPr>
            <w:r>
              <w:rPr>
                <w:rStyle w:val="VerbatimChar"/>
              </w:rPr>
              <w:t xml:space="preserve">/iwxxm:*/iwxxm:validPeriod/gml:beginPosition</w:t>
            </w:r>
          </w:p>
        </w:tc>
        <w:tc>
          <w:tcPr/>
          <w:p>
            <w:pPr>
              <w:pStyle w:val="Compact"/>
            </w:pPr>
            <w:r>
              <w:t xml:space="preserve">Start of validity period</w:t>
            </w:r>
          </w:p>
        </w:tc>
        <w:tc>
          <w:tcPr/>
          <w:p>
            <w:pPr>
              <w:pStyle w:val="Compact"/>
            </w:pPr>
            <w:r>
              <w:rPr>
                <w:rStyle w:val="VerbatimChar"/>
              </w:rPr>
              <w:t xml:space="preserve">2025-04-15T14:30:00Z</w:t>
            </w:r>
          </w:p>
        </w:tc>
      </w:tr>
      <w:tr>
        <w:tc>
          <w:tcPr/>
          <w:p>
            <w:pPr>
              <w:pStyle w:val="Compact"/>
            </w:pPr>
            <w:r>
              <w:rPr>
                <w:rStyle w:val="VerbatimChar"/>
              </w:rPr>
              <w:t xml:space="preserve">properties.end_datetime</w:t>
            </w:r>
          </w:p>
        </w:tc>
        <w:tc>
          <w:tcPr/>
          <w:p>
            <w:pPr>
              <w:pStyle w:val="Compact"/>
            </w:pPr>
            <w:r>
              <w:t xml:space="preserve">TAF, SIGMET</w:t>
            </w:r>
          </w:p>
        </w:tc>
        <w:tc>
          <w:tcPr/>
          <w:p>
            <w:pPr>
              <w:pStyle w:val="Compact"/>
            </w:pPr>
            <w:r>
              <w:rPr>
                <w:rStyle w:val="VerbatimChar"/>
              </w:rPr>
              <w:t xml:space="preserve">/iwxxm:*/iwxxm:validPeriod/gml:endPosition</w:t>
            </w:r>
          </w:p>
        </w:tc>
        <w:tc>
          <w:tcPr/>
          <w:p>
            <w:pPr>
              <w:pStyle w:val="Compact"/>
            </w:pPr>
            <w:r>
              <w:t xml:space="preserve">End of validity period</w:t>
            </w:r>
          </w:p>
        </w:tc>
        <w:tc>
          <w:tcPr/>
          <w:p>
            <w:pPr>
              <w:pStyle w:val="Compact"/>
            </w:pPr>
            <w:r>
              <w:rPr>
                <w:rStyle w:val="VerbatimChar"/>
              </w:rPr>
              <w:t xml:space="preserve">2025-04-15T18:00:00Z</w:t>
            </w:r>
          </w:p>
        </w:tc>
      </w:tr>
      <w:tr>
        <w:tc>
          <w:tcPr/>
          <w:p>
            <w:pPr>
              <w:pStyle w:val="Compact"/>
            </w:pPr>
            <w:r>
              <w:rPr>
                <w:rStyle w:val="VerbatimChar"/>
              </w:rPr>
              <w:t xml:space="preserve">properties.icao_location_identifier</w:t>
            </w:r>
          </w:p>
        </w:tc>
        <w:tc>
          <w:tcPr/>
          <w:p>
            <w:pPr>
              <w:pStyle w:val="Compact"/>
            </w:pPr>
            <w:r>
              <w:t xml:space="preserve">METAR, SPECI, TAF</w:t>
            </w:r>
          </w:p>
        </w:tc>
        <w:tc>
          <w:tcPr/>
          <w:p>
            <w:pPr>
              <w:pStyle w:val="Compact"/>
            </w:pPr>
            <w:r>
              <w:rPr>
                <w:rStyle w:val="VerbatimChar"/>
              </w:rPr>
              <w:t xml:space="preserve">/iwxxm:*/iwxxm:aerodrome/aixm:AirportHeliport/aixm:locationIndicatorICAO</w:t>
            </w:r>
          </w:p>
        </w:tc>
        <w:tc>
          <w:tcPr/>
          <w:p>
            <w:pPr>
              <w:pStyle w:val="Compact"/>
            </w:pPr>
            <w:r>
              <w:t xml:space="preserve">Aerodrome ICAO code</w:t>
            </w:r>
          </w:p>
        </w:tc>
        <w:tc>
          <w:tcPr/>
          <w:p>
            <w:pPr>
              <w:pStyle w:val="Compact"/>
            </w:pPr>
            <w:r>
              <w:rPr>
                <w:rStyle w:val="VerbatimChar"/>
              </w:rPr>
              <w:t xml:space="preserve">EBBR</w:t>
            </w:r>
          </w:p>
        </w:tc>
      </w:tr>
      <w:tr>
        <w:tc>
          <w:tcPr/>
          <w:p>
            <w:pPr>
              <w:pStyle w:val="Compact"/>
            </w:pPr>
            <w:r>
              <w:rPr>
                <w:rStyle w:val="VerbatimChar"/>
              </w:rPr>
              <w:t xml:space="preserve">properties.icao_location_identifier</w:t>
            </w:r>
          </w:p>
        </w:tc>
        <w:tc>
          <w:tcPr/>
          <w:p>
            <w:pPr>
              <w:pStyle w:val="Compact"/>
            </w:pPr>
            <w:r>
              <w:t xml:space="preserve">SIGMET</w:t>
            </w:r>
          </w:p>
        </w:tc>
        <w:tc>
          <w:tcPr/>
          <w:p>
            <w:pPr>
              <w:pStyle w:val="Compact"/>
            </w:pPr>
            <w:r>
              <w:rPr>
                <w:rStyle w:val="VerbatimChar"/>
              </w:rPr>
              <w:t xml:space="preserve">/iwxxm:SIGMET/iwxxm:issuingAirTrafficServicesRegion/aixm:Airspace/aixm:designator</w:t>
            </w:r>
          </w:p>
        </w:tc>
        <w:tc>
          <w:tcPr/>
          <w:p>
            <w:pPr>
              <w:pStyle w:val="Compact"/>
            </w:pPr>
            <w:r>
              <w:t xml:space="preserve">Airspace designator</w:t>
            </w:r>
          </w:p>
        </w:tc>
        <w:tc>
          <w:tcPr/>
          <w:p>
            <w:pPr>
              <w:pStyle w:val="Compact"/>
            </w:pPr>
            <w:r>
              <w:rPr>
                <w:rStyle w:val="VerbatimChar"/>
              </w:rPr>
              <w:t xml:space="preserve">UDDD</w:t>
            </w:r>
          </w:p>
        </w:tc>
      </w:tr>
      <w:tr>
        <w:tc>
          <w:tcPr/>
          <w:p>
            <w:pPr>
              <w:pStyle w:val="Compact"/>
            </w:pPr>
            <w:r>
              <w:rPr>
                <w:rStyle w:val="VerbatimChar"/>
              </w:rPr>
              <w:t xml:space="preserve">properties.icao_location_type</w:t>
            </w:r>
          </w:p>
        </w:tc>
        <w:tc>
          <w:tcPr/>
          <w:p>
            <w:pPr>
              <w:pStyle w:val="Compact"/>
            </w:pPr>
            <w:r>
              <w:t xml:space="preserve">METAR, SPECI, TAF</w:t>
            </w:r>
          </w:p>
        </w:tc>
        <w:tc>
          <w:tcPr/>
          <w:p>
            <w:pPr>
              <w:pStyle w:val="Compact"/>
            </w:pPr>
            <w:r>
              <w:rPr>
                <w:rStyle w:val="VerbatimChar"/>
              </w:rPr>
              <w:t xml:space="preserve">"AD"</w:t>
            </w:r>
          </w:p>
        </w:tc>
        <w:tc>
          <w:tcPr/>
          <w:p>
            <w:pPr>
              <w:pStyle w:val="Compact"/>
            </w:pPr>
            <w:r>
              <w:t xml:space="preserve">Always</w:t>
            </w:r>
            <w:r>
              <w:t xml:space="preserve"> </w:t>
            </w:r>
            <w:r>
              <w:t xml:space="preserve">“AD”</w:t>
            </w:r>
            <w:r>
              <w:t xml:space="preserve"> </w:t>
            </w:r>
            <w:r>
              <w:t xml:space="preserve">for aerodrome reports</w:t>
            </w:r>
          </w:p>
        </w:tc>
        <w:tc>
          <w:tcPr/>
          <w:p>
            <w:pPr>
              <w:pStyle w:val="Compact"/>
            </w:pPr>
            <w:r>
              <w:rPr>
                <w:rStyle w:val="VerbatimChar"/>
              </w:rPr>
              <w:t xml:space="preserve">AD</w:t>
            </w:r>
          </w:p>
        </w:tc>
      </w:tr>
      <w:tr>
        <w:tc>
          <w:tcPr/>
          <w:p>
            <w:pPr>
              <w:pStyle w:val="Compact"/>
            </w:pPr>
            <w:r>
              <w:rPr>
                <w:rStyle w:val="VerbatimChar"/>
              </w:rPr>
              <w:t xml:space="preserve">properties.icao_location_type</w:t>
            </w:r>
          </w:p>
        </w:tc>
        <w:tc>
          <w:tcPr/>
          <w:p>
            <w:pPr>
              <w:pStyle w:val="Compact"/>
            </w:pPr>
            <w:r>
              <w:t xml:space="preserve">SIGMET</w:t>
            </w:r>
          </w:p>
        </w:tc>
        <w:tc>
          <w:tcPr/>
          <w:p>
            <w:pPr>
              <w:pStyle w:val="Compact"/>
            </w:pPr>
            <w:r>
              <w:rPr>
                <w:rStyle w:val="VerbatimChar"/>
              </w:rPr>
              <w:t xml:space="preserve">/iwxxm:SIGMET/iwxxm:issuingAirTrafficServicesRegion/aixm:Airspace/aixm:type</w:t>
            </w:r>
          </w:p>
        </w:tc>
        <w:tc>
          <w:tcPr/>
          <w:p>
            <w:pPr>
              <w:pStyle w:val="Compact"/>
            </w:pPr>
            <w:r>
              <w:t xml:space="preserve">Airspace type</w:t>
            </w:r>
          </w:p>
        </w:tc>
        <w:tc>
          <w:tcPr/>
          <w:p>
            <w:pPr>
              <w:pStyle w:val="Compact"/>
            </w:pPr>
            <w:r>
              <w:rPr>
                <w:rStyle w:val="VerbatimChar"/>
              </w:rPr>
              <w:t xml:space="preserve">FIR</w:t>
            </w:r>
            <w:r>
              <w:t xml:space="preserve">,</w:t>
            </w:r>
            <w:r>
              <w:t xml:space="preserve"> </w:t>
            </w:r>
            <w:r>
              <w:rPr>
                <w:rStyle w:val="VerbatimChar"/>
              </w:rPr>
              <w:t xml:space="preserve">UIR</w:t>
            </w:r>
            <w:r>
              <w:t xml:space="preserve">,</w:t>
            </w:r>
            <w:r>
              <w:t xml:space="preserve"> </w:t>
            </w:r>
            <w:r>
              <w:rPr>
                <w:rStyle w:val="VerbatimChar"/>
              </w:rPr>
              <w:t xml:space="preserve">CTA</w:t>
            </w:r>
            <w:r>
              <w:t xml:space="preserve">,</w:t>
            </w:r>
            <w:r>
              <w:t xml:space="preserve"> </w:t>
            </w:r>
            <w:r>
              <w:rPr>
                <w:rStyle w:val="VerbatimChar"/>
              </w:rPr>
              <w:t xml:space="preserve">OTHER:FIR_UIR</w:t>
            </w:r>
          </w:p>
        </w:tc>
      </w:tr>
    </w:tbl>
    <w:bookmarkEnd w:id="99"/>
    <w:bookmarkEnd w:id="100"/>
    <w:bookmarkEnd w:id="10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56" Target="http://docs.oasis-open.org/amqp/core/v1.0/os/amqp-core-types-v1.0-os.html#type-timestamp" TargetMode="External" /><Relationship Type="http://schemas.openxmlformats.org/officeDocument/2006/relationships/hyperlink" Id="rId65" Target="https://aixm.aero/sites/default/files/imce/AIXM511HTML/AIXM/DataType_CodeAirspaceType.html" TargetMode="External" /><Relationship Type="http://schemas.openxmlformats.org/officeDocument/2006/relationships/hyperlink" Id="rId64" Target="https://aixm.aero/sites/default/files/imce/AIXM51HTML/AIXM/DataType_CodeAirportHeliportType.html" TargetMode="External" /><Relationship Type="http://schemas.openxmlformats.org/officeDocument/2006/relationships/hyperlink" Id="rId35" Target="https://community.wmo.int/en/activity-areas/wis/WIS2-overview" TargetMode="External" /><Relationship Type="http://schemas.openxmlformats.org/officeDocument/2006/relationships/hyperlink" Id="rId70" Target="https://datatracker.ietf.org/doc/html/rfc3339" TargetMode="External" /><Relationship Type="http://schemas.openxmlformats.org/officeDocument/2006/relationships/hyperlink" Id="rId77" Target="https://datatracker.ietf.org/doc/html/rfc8551" TargetMode="External" /><Relationship Type="http://schemas.openxmlformats.org/officeDocument/2006/relationships/hyperlink" Id="rId32" Target="https://docs.oasis-open.org/amqp/core/v1.0/os/amqp-core-messaging-v1.0-os.html" TargetMode="External" /><Relationship Type="http://schemas.openxmlformats.org/officeDocument/2006/relationships/hyperlink" Id="rId60" Target="https://docs.oasis-open.org/amqp/core/v1.0/os/amqp-core-messaging-v1.0-os.html#type-application-properties" TargetMode="External" /><Relationship Type="http://schemas.openxmlformats.org/officeDocument/2006/relationships/hyperlink" Id="rId51" Target="https://docs.oasis-open.org/amqp/core/v1.0/os/amqp-core-messaging-v1.0-os.html#type-header" TargetMode="External" /><Relationship Type="http://schemas.openxmlformats.org/officeDocument/2006/relationships/hyperlink" Id="rId52" Target="https://docs.oasis-open.org/amqp/core/v1.0/os/amqp-core-messaging-v1.0-os.html#type-properties" TargetMode="External" /><Relationship Type="http://schemas.openxmlformats.org/officeDocument/2006/relationships/hyperlink" Id="rId34" Target="https://docs.oasis-open.org/amqp/filtex/v1.0/filtex-v1.0.html" TargetMode="External" /><Relationship Type="http://schemas.openxmlformats.org/officeDocument/2006/relationships/hyperlink" Id="rId24" Target="https://docs.ogc.org/is/23-057r1/23-057r1.html" TargetMode="External" /><Relationship Type="http://schemas.openxmlformats.org/officeDocument/2006/relationships/hyperlink" Id="rId28" Target="https://eur-lex.europa.eu/eli/reg_impl/2021/116/oj/eng" TargetMode="External" /><Relationship Type="http://schemas.openxmlformats.org/officeDocument/2006/relationships/hyperlink" Id="rId29" Target="https://eur-registry.swim.aero/services/eurocontrol-iwxxm-metar-speci-subscription-and-request-service-10" TargetMode="External" /><Relationship Type="http://schemas.openxmlformats.org/officeDocument/2006/relationships/hyperlink" Id="rId30" Target="https://eur-registry.swim.aero/services/eurocontrol-iwxxm-sigmet-subscription-and-request-service-10" TargetMode="External" /><Relationship Type="http://schemas.openxmlformats.org/officeDocument/2006/relationships/hyperlink" Id="rId31" Target="https://eur-registry.swim.aero/services/eurocontrol-iwxxm-taf-subscription-and-request-service-10" TargetMode="External" /><Relationship Type="http://schemas.openxmlformats.org/officeDocument/2006/relationships/hyperlink" Id="rId82" Target="https://github.com/amqp/rhea" TargetMode="External" /><Relationship Type="http://schemas.openxmlformats.org/officeDocument/2006/relationships/hyperlink" Id="rId9" Target="https://github.com/iblsoft/swimdemo/blob/main/MET-SWIM-AMQP-Guidance-CP1.md" TargetMode="External" /><Relationship Type="http://schemas.openxmlformats.org/officeDocument/2006/relationships/hyperlink" Id="rId10" Target="https://github.com/iblsoft/swimdemo/blob/main/MET-SWIM-AMQP-Guidance-Next.md" TargetMode="External" /><Relationship Type="http://schemas.openxmlformats.org/officeDocument/2006/relationships/hyperlink" Id="rId96" Target="https://github.com/iblsoft/swimdemo/blob/main/iwxxm_utils.py" TargetMode="External" /><Relationship Type="http://schemas.openxmlformats.org/officeDocument/2006/relationships/hyperlink" Id="rId18" Target="https://github.com/radiantearth/stac-spec/blob/master/commons/common-metadata.md#date-and-time-range" TargetMode="External" /><Relationship Type="http://schemas.openxmlformats.org/officeDocument/2006/relationships/hyperlink" Id="rId16" Target="https://github.com/radiantearth/stac-spec/blob/master/item-spec/item-spec.md" TargetMode="External" /><Relationship Type="http://schemas.openxmlformats.org/officeDocument/2006/relationships/hyperlink" Id="rId17" Target="https://github.com/radiantearth/stac-spec/blob/master/item-spec/item-spec.md#datetime" TargetMode="External" /><Relationship Type="http://schemas.openxmlformats.org/officeDocument/2006/relationships/hyperlink" Id="rId14" Target="https://github.com/tomkralidis" TargetMode="External" /><Relationship Type="http://schemas.openxmlformats.org/officeDocument/2006/relationships/hyperlink" Id="rId33" Target="https://ogcapi.ogc.org/edr/" TargetMode="External" /><Relationship Type="http://schemas.openxmlformats.org/officeDocument/2006/relationships/hyperlink" Id="rId84" Target="https://qpid.apache.org/proton/index.html" TargetMode="External" /><Relationship Type="http://schemas.openxmlformats.org/officeDocument/2006/relationships/hyperlink" Id="rId95" Target="https://schemas.wmo.int/iwxxm/2023-1/" TargetMode="External" /><Relationship Type="http://schemas.openxmlformats.org/officeDocument/2006/relationships/hyperlink" Id="rId66" Target="https://schemas.wmo.int/iwxxm/2025-2RC1/examples/sigmet-A6-1a-TS.xml" TargetMode="External" /><Relationship Type="http://schemas.openxmlformats.org/officeDocument/2006/relationships/hyperlink" Id="rId15" Target="https://stacspec.org" TargetMode="External" /><Relationship Type="http://schemas.openxmlformats.org/officeDocument/2006/relationships/hyperlink" Id="rId37" Target="https://store.icao.int/en/annex-3-meteorological-service-for-international-air-navigation" TargetMode="External" /><Relationship Type="http://schemas.openxmlformats.org/officeDocument/2006/relationships/hyperlink" Id="rId23" Target="https://wmo-im.github.io/wis2-notification-message/standard/wis2-notification-message-STABLE.html" TargetMode="External" /><Relationship Type="http://schemas.openxmlformats.org/officeDocument/2006/relationships/hyperlink" Id="rId72" Target="https://wmo-im.github.io/wis2-notification-message/standard/wis2-notification-message-STABLE.html#_1_12_properties_temporal_description" TargetMode="External" /><Relationship Type="http://schemas.openxmlformats.org/officeDocument/2006/relationships/hyperlink" Id="rId40" Target="https://wmo-im.github.io/wis2-topic-hierarchy/standard/wis2-topic-hierarchy-STABLE.html" TargetMode="External" /><Relationship Type="http://schemas.openxmlformats.org/officeDocument/2006/relationships/hyperlink" Id="rId36" Target="https://www.rfc-editor.org/rfc/rfc3339.html" TargetMode="External" /></Relationships>
</file>

<file path=word/_rels/footnotes.xml.rels><?xml version="1.0" encoding="UTF-8"?><Relationships xmlns="http://schemas.openxmlformats.org/package/2006/relationships"><Relationship Type="http://schemas.openxmlformats.org/officeDocument/2006/relationships/hyperlink" Id="rId56" Target="http://docs.oasis-open.org/amqp/core/v1.0/os/amqp-core-types-v1.0-os.html#type-timestamp" TargetMode="External" /><Relationship Type="http://schemas.openxmlformats.org/officeDocument/2006/relationships/hyperlink" Id="rId65" Target="https://aixm.aero/sites/default/files/imce/AIXM511HTML/AIXM/DataType_CodeAirspaceType.html" TargetMode="External" /><Relationship Type="http://schemas.openxmlformats.org/officeDocument/2006/relationships/hyperlink" Id="rId64" Target="https://aixm.aero/sites/default/files/imce/AIXM51HTML/AIXM/DataType_CodeAirportHeliportType.html" TargetMode="External" /><Relationship Type="http://schemas.openxmlformats.org/officeDocument/2006/relationships/hyperlink" Id="rId35" Target="https://community.wmo.int/en/activity-areas/wis/WIS2-overview" TargetMode="External" /><Relationship Type="http://schemas.openxmlformats.org/officeDocument/2006/relationships/hyperlink" Id="rId70" Target="https://datatracker.ietf.org/doc/html/rfc3339" TargetMode="External" /><Relationship Type="http://schemas.openxmlformats.org/officeDocument/2006/relationships/hyperlink" Id="rId77" Target="https://datatracker.ietf.org/doc/html/rfc8551" TargetMode="External" /><Relationship Type="http://schemas.openxmlformats.org/officeDocument/2006/relationships/hyperlink" Id="rId32" Target="https://docs.oasis-open.org/amqp/core/v1.0/os/amqp-core-messaging-v1.0-os.html" TargetMode="External" /><Relationship Type="http://schemas.openxmlformats.org/officeDocument/2006/relationships/hyperlink" Id="rId60" Target="https://docs.oasis-open.org/amqp/core/v1.0/os/amqp-core-messaging-v1.0-os.html#type-application-properties" TargetMode="External" /><Relationship Type="http://schemas.openxmlformats.org/officeDocument/2006/relationships/hyperlink" Id="rId51" Target="https://docs.oasis-open.org/amqp/core/v1.0/os/amqp-core-messaging-v1.0-os.html#type-header" TargetMode="External" /><Relationship Type="http://schemas.openxmlformats.org/officeDocument/2006/relationships/hyperlink" Id="rId52" Target="https://docs.oasis-open.org/amqp/core/v1.0/os/amqp-core-messaging-v1.0-os.html#type-properties" TargetMode="External" /><Relationship Type="http://schemas.openxmlformats.org/officeDocument/2006/relationships/hyperlink" Id="rId34" Target="https://docs.oasis-open.org/amqp/filtex/v1.0/filtex-v1.0.html" TargetMode="External" /><Relationship Type="http://schemas.openxmlformats.org/officeDocument/2006/relationships/hyperlink" Id="rId24" Target="https://docs.ogc.org/is/23-057r1/23-057r1.html" TargetMode="External" /><Relationship Type="http://schemas.openxmlformats.org/officeDocument/2006/relationships/hyperlink" Id="rId28" Target="https://eur-lex.europa.eu/eli/reg_impl/2021/116/oj/eng" TargetMode="External" /><Relationship Type="http://schemas.openxmlformats.org/officeDocument/2006/relationships/hyperlink" Id="rId29" Target="https://eur-registry.swim.aero/services/eurocontrol-iwxxm-metar-speci-subscription-and-request-service-10" TargetMode="External" /><Relationship Type="http://schemas.openxmlformats.org/officeDocument/2006/relationships/hyperlink" Id="rId30" Target="https://eur-registry.swim.aero/services/eurocontrol-iwxxm-sigmet-subscription-and-request-service-10" TargetMode="External" /><Relationship Type="http://schemas.openxmlformats.org/officeDocument/2006/relationships/hyperlink" Id="rId31" Target="https://eur-registry.swim.aero/services/eurocontrol-iwxxm-taf-subscription-and-request-service-10" TargetMode="External" /><Relationship Type="http://schemas.openxmlformats.org/officeDocument/2006/relationships/hyperlink" Id="rId82" Target="https://github.com/amqp/rhea" TargetMode="External" /><Relationship Type="http://schemas.openxmlformats.org/officeDocument/2006/relationships/hyperlink" Id="rId9" Target="https://github.com/iblsoft/swimdemo/blob/main/MET-SWIM-AMQP-Guidance-CP1.md" TargetMode="External" /><Relationship Type="http://schemas.openxmlformats.org/officeDocument/2006/relationships/hyperlink" Id="rId10" Target="https://github.com/iblsoft/swimdemo/blob/main/MET-SWIM-AMQP-Guidance-Next.md" TargetMode="External" /><Relationship Type="http://schemas.openxmlformats.org/officeDocument/2006/relationships/hyperlink" Id="rId96" Target="https://github.com/iblsoft/swimdemo/blob/main/iwxxm_utils.py" TargetMode="External" /><Relationship Type="http://schemas.openxmlformats.org/officeDocument/2006/relationships/hyperlink" Id="rId18" Target="https://github.com/radiantearth/stac-spec/blob/master/commons/common-metadata.md#date-and-time-range" TargetMode="External" /><Relationship Type="http://schemas.openxmlformats.org/officeDocument/2006/relationships/hyperlink" Id="rId16" Target="https://github.com/radiantearth/stac-spec/blob/master/item-spec/item-spec.md" TargetMode="External" /><Relationship Type="http://schemas.openxmlformats.org/officeDocument/2006/relationships/hyperlink" Id="rId17" Target="https://github.com/radiantearth/stac-spec/blob/master/item-spec/item-spec.md#datetime" TargetMode="External" /><Relationship Type="http://schemas.openxmlformats.org/officeDocument/2006/relationships/hyperlink" Id="rId14" Target="https://github.com/tomkralidis" TargetMode="External" /><Relationship Type="http://schemas.openxmlformats.org/officeDocument/2006/relationships/hyperlink" Id="rId33" Target="https://ogcapi.ogc.org/edr/" TargetMode="External" /><Relationship Type="http://schemas.openxmlformats.org/officeDocument/2006/relationships/hyperlink" Id="rId84" Target="https://qpid.apache.org/proton/index.html" TargetMode="External" /><Relationship Type="http://schemas.openxmlformats.org/officeDocument/2006/relationships/hyperlink" Id="rId95" Target="https://schemas.wmo.int/iwxxm/2023-1/" TargetMode="External" /><Relationship Type="http://schemas.openxmlformats.org/officeDocument/2006/relationships/hyperlink" Id="rId66" Target="https://schemas.wmo.int/iwxxm/2025-2RC1/examples/sigmet-A6-1a-TS.xml" TargetMode="External" /><Relationship Type="http://schemas.openxmlformats.org/officeDocument/2006/relationships/hyperlink" Id="rId15" Target="https://stacspec.org" TargetMode="External" /><Relationship Type="http://schemas.openxmlformats.org/officeDocument/2006/relationships/hyperlink" Id="rId37" Target="https://store.icao.int/en/annex-3-meteorological-service-for-international-air-navigation" TargetMode="External" /><Relationship Type="http://schemas.openxmlformats.org/officeDocument/2006/relationships/hyperlink" Id="rId23" Target="https://wmo-im.github.io/wis2-notification-message/standard/wis2-notification-message-STABLE.html" TargetMode="External" /><Relationship Type="http://schemas.openxmlformats.org/officeDocument/2006/relationships/hyperlink" Id="rId72" Target="https://wmo-im.github.io/wis2-notification-message/standard/wis2-notification-message-STABLE.html#_1_12_properties_temporal_description" TargetMode="External" /><Relationship Type="http://schemas.openxmlformats.org/officeDocument/2006/relationships/hyperlink" Id="rId40" Target="https://wmo-im.github.io/wis2-topic-hierarchy/standard/wis2-topic-hierarchy-STABLE.html" TargetMode="External" /><Relationship Type="http://schemas.openxmlformats.org/officeDocument/2006/relationships/hyperlink" Id="rId36" Target="https://www.rfc-editor.org/rfc/rfc33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AMQP Message Structure in MET-SWIM (CP1)</dc:title>
  <dc:creator/>
  <cp:keywords/>
  <dcterms:created xsi:type="dcterms:W3CDTF">2025-08-21T14:50:31Z</dcterms:created>
  <dcterms:modified xsi:type="dcterms:W3CDTF">2025-08-21T14:50:31Z</dcterms:modified>
</cp:coreProperties>
</file>

<file path=docProps/custom.xml><?xml version="1.0" encoding="utf-8"?>
<Properties xmlns="http://schemas.openxmlformats.org/officeDocument/2006/custom-properties" xmlns:vt="http://schemas.openxmlformats.org/officeDocument/2006/docPropsVTypes"/>
</file>