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7c4319181b42fc" /><Relationship Type="http://schemas.openxmlformats.org/package/2006/relationships/metadata/core-properties" Target="/docProps/core.xml" Id="R5a664faa5b034825" /><Relationship Type="http://schemas.openxmlformats.org/officeDocument/2006/relationships/extended-properties" Target="/docProps/app.xml" Id="R2afa87ed8e8a45b2" /><Relationship Type="http://schemas.openxmlformats.org/officeDocument/2006/relationships/custom-properties" Target="/docProps/custom.xml" Id="R0556faf47a6e4ee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  <w:spacing w:after="240"/>
      </w:pPr>
      <w:r>
        <w:rPr>
          <w:b/>
          <w:color w:val="0F62FE"/>
          <w:sz w:val="40"/>
        </w:rPr>
        <w:t xml:space="preserve">Review &amp; Collaboration Report: Power Security Opportunity Discovery Assistant &amp; Live Demo Integration</w:t>
      </w:r>
    </w:p>
    <w:p w14:paraId="00100002" w14:textId="00100003">
      <w:pPr>
        <w:pStyle w:val="Subtitle"/>
        <w:spacing w:after="360"/>
      </w:pPr>
      <w:r>
        <w:rPr>
          <w:color w:val="57606A"/>
          <w:sz w:val="20"/>
        </w:rPr>
        <w:t xml:space="preserve">To: Peter &amp; Samvedna (IBM Power Security &amp; Technical Sales) | Date: March 2026</w:t>
      </w:r>
    </w:p>
    <w:p w14:paraId="00100004" w14:textId="00100005">
      <w:pPr>
        <w:pStyle w:val="Heading2"/>
        <w:spacing w:before="240" w:after="120"/>
      </w:pPr>
      <w:r>
        <w:rPr>
          <w:b/>
          <w:sz w:val="28"/>
        </w:rPr>
        <w:t xml:space="preserve">1. Executive Summary &amp; Tool Assessment</w:t>
      </w:r>
    </w:p>
    <w:p w14:paraId="00100006" w14:textId="00100007">
      <w:pPr>
        <w:spacing w:after="120"/>
      </w:pPr>
      <w:r>
        <w:rPr>
          <w:sz w:val="22"/>
        </w:rPr>
        <w:t xml:space="preserve">We reviewed the Power Security Opportunity Discovery Assistant PoC repository and presentation deck. It is a well-engineered React 18 / TypeScript application with an embedded IBM Bob skill (power-security-discovery) and 6 modular detection engines (covering PowerSC Hardening, Compliance, Privileged Access, Database Security, Threat Detection, and Lifecycle Risk).</w:t>
      </w:r>
    </w:p>
    <w:p w14:paraId="00100008" w14:textId="00100009">
      <w:pPr>
        <w:numPr>
          <w:ilvl w:val="0"/>
          <w:numId w:val="1"/>
        </w:numPr>
        <w:spacing w:after="60"/>
      </w:pPr>
      <w:r>
        <w:rPr>
          <w:sz w:val="22"/>
        </w:rPr>
        <w:t xml:space="preserve">• Offline / Metadata-Driven: The tool is NOT an agent installed on customer systems. It runs locally on a seller workstation or within IBM Bob.</w:t>
      </w:r>
    </w:p>
    <w:p w14:paraId="0010000A" w14:textId="0010000B">
      <w:pPr>
        <w:numPr>
          <w:ilvl w:val="0"/>
          <w:numId w:val="1"/>
        </w:numPr>
        <w:spacing w:after="240"/>
      </w:pPr>
      <w:r>
        <w:rPr>
          <w:sz w:val="22"/>
        </w:rPr>
        <w:t xml:space="preserve">• Strict Privacy Model: It operates solely on high-level infrastructure metadata (Power generation, OS/VIOS levels, database types, compliance mandates, and known control flags). It does not collect or display hostnames, IP addresses, user credentials, database contents, or PII.</w:t>
      </w:r>
    </w:p>
    <w:p w14:paraId="0010000C" w14:textId="0010000D">
      <w:pPr>
        <w:pStyle w:val="Heading2"/>
        <w:spacing w:before="240" w:after="120"/>
      </w:pPr>
      <w:r>
        <w:rPr>
          <w:b/>
          <w:sz w:val="28"/>
        </w:rPr>
        <w:t xml:space="preserve">2. The End-to-End Presales Funnel</w:t>
      </w:r>
    </w:p>
    <w:p w14:paraId="0010000E" w14:textId="0010000F">
      <w:pPr>
        <w:spacing w:after="120"/>
      </w:pPr>
      <w:r>
        <w:rPr>
          <w:sz w:val="22"/>
        </w:rPr>
        <w:t xml:space="preserve">The Discovery Assistant fills a critical middle step between initial account research and our live technical demonstrations:</w:t>
      </w:r>
    </w:p>
    <w:p w14:paraId="00100010" w14:textId="00100011">
      <w:pPr>
        <w:spacing w:after="80"/>
      </w:pPr>
      <w:r>
        <w:rPr>
          <w:b w:val="false"/>
          <w:sz w:val="22"/>
        </w:rPr>
        <w:t xml:space="preserve">Stage 1 (Discover) — IBM Consulting Advantage: Extracts board priorities, cyber risk appetite, compliance obligations, and business context from Annual Reports (e.g. Howdens, JLR supply chain parallels).</w:t>
      </w:r>
    </w:p>
    <w:p w14:paraId="00100012" w14:textId="00100013">
      <w:pPr>
        <w:spacing w:after="80"/>
      </w:pPr>
      <w:r>
        <w:rPr>
          <w:b w:val="false"/>
          <w:sz w:val="22"/>
        </w:rPr>
        <w:t xml:space="preserve">Stage 2 (Quantify) — Opportunity Discovery Assistant: Maps infrastructure metadata into 6 detection modules, calculates security pipeline value, and recommends target IBM products.</w:t>
      </w:r>
    </w:p>
    <w:p w14:paraId="00100014" w14:textId="00100015">
      <w:pPr>
        <w:spacing w:after="240"/>
      </w:pPr>
      <w:r>
        <w:rPr>
          <w:b w:val="false"/>
          <w:sz w:val="22"/>
        </w:rPr>
        <w:t xml:space="preserve">Stage 3 (Prove) — Live PowerSC + Vault Demo: Executes a live before/after scan on real AIX + Vault PKI on TechZone, demonstrating the transformation (287-day certs to 24h automated certs and 67% to 98% compliance).</w:t>
      </w:r>
    </w:p>
    <w:p w14:paraId="00100016" w14:textId="00100017">
      <w:pPr>
        <w:pStyle w:val="Heading2"/>
        <w:spacing w:before="240" w:after="120"/>
      </w:pPr>
      <w:r>
        <w:rPr>
          <w:b/>
          <w:sz w:val="28"/>
        </w:rPr>
        <w:t xml:space="preserve">3. Alignment with Early Account Data (e.g. Howdens Worked Example)</w:t>
      </w:r>
    </w:p>
    <w:p w14:paraId="00100018" w14:textId="00100019">
      <w:pPr>
        <w:spacing w:after="120"/>
      </w:pPr>
      <w:r>
        <w:rPr>
          <w:sz w:val="22"/>
        </w:rPr>
        <w:t xml:space="preserve">Even high-level information gathered early from public records or initial discovery calls maps directly into Samvedna's metadata schema:</w:t>
      </w:r>
    </w:p>
    <w:p w14:paraId="0010001A" w14:textId="0010001B">
      <w:pPr>
        <w:numPr>
          <w:ilvl w:val="0"/>
          <w:numId w:val="2"/>
        </w:numPr>
        <w:spacing w:after="60"/>
      </w:pPr>
      <w:r>
        <w:rPr>
          <w:sz w:val="21"/>
        </w:rPr>
        <w:t xml:space="preserve">• Power Generation / OS (Power9/10, AIX 7.2/7.3) -&gt; Scopes the target environment for PowerSC endpoint agent.</w:t>
      </w:r>
    </w:p>
    <w:p w14:paraId="0010001C" w14:textId="0010001D">
      <w:pPr>
        <w:numPr>
          <w:ilvl w:val="0"/>
          <w:numId w:val="2"/>
        </w:numPr>
        <w:spacing w:after="60"/>
      </w:pPr>
      <w:r>
        <w:rPr>
          <w:sz w:val="21"/>
        </w:rPr>
        <w:t xml:space="preserve">• Databases (SAP HANA, Oracle, Db2) -&gt; Targets synthetic workload certificate paths (/opt/sap, /opt/oracle).</w:t>
      </w:r>
    </w:p>
    <w:p w14:paraId="0010001E" w14:textId="0010001F">
      <w:pPr>
        <w:numPr>
          <w:ilvl w:val="0"/>
          <w:numId w:val="2"/>
        </w:numPr>
        <w:spacing w:after="60"/>
      </w:pPr>
      <w:r>
        <w:rPr>
          <w:sz w:val="21"/>
        </w:rPr>
        <w:t xml:space="preserve">• Manual Compliance Reporting (True) -&gt; Triggers PowerSC Compliance Automation opportunity ($100k+).</w:t>
      </w:r>
    </w:p>
    <w:p w14:paraId="00100020" w14:textId="00100021">
      <w:pPr>
        <w:numPr>
          <w:ilvl w:val="0"/>
          <w:numId w:val="2"/>
        </w:numPr>
        <w:spacing w:after="60"/>
      </w:pPr>
      <w:r>
        <w:rPr>
          <w:sz w:val="21"/>
        </w:rPr>
        <w:t xml:space="preserve">• PowerSC Not Deployed (False) -&gt; Triggers PowerSC Hardening ($150k+) and live before/after demo.</w:t>
      </w:r>
    </w:p>
    <w:p w14:paraId="00100022" w14:textId="00100023">
      <w:pPr>
        <w:numPr>
          <w:ilvl w:val="0"/>
          <w:numId w:val="2"/>
        </w:numPr>
        <w:spacing w:after="240"/>
      </w:pPr>
      <w:r>
        <w:rPr>
          <w:sz w:val="21"/>
        </w:rPr>
        <w:t xml:space="preserve">• Shared Root / Weak Auditing (True) -&gt; Triggers IBM Verify Privilege &amp; Verify MFA Attach ($115k+).</w:t>
      </w:r>
    </w:p>
    <w:p w14:paraId="00100024" w14:textId="00100025">
      <w:pPr>
        <w:pStyle w:val="Heading2"/>
        <w:spacing w:before="240" w:after="120"/>
      </w:pPr>
      <w:r>
        <w:rPr>
          <w:b/>
          <w:sz w:val="28"/>
        </w:rPr>
        <w:t xml:space="preserve">4. Proposed Collaboration Opportunities</w:t>
      </w:r>
    </w:p>
    <w:p w14:paraId="00100026" w14:textId="00100027">
      <w:pPr>
        <w:spacing w:after="80"/>
      </w:pPr>
      <w:r>
        <w:rPr>
          <w:sz w:val="22"/>
        </w:rPr>
        <w:t xml:space="preserve">1. Direct Handoff to Live TechZone Demo: Add a 'Launch Live Proof of Value' action in the Opportunity Report view to automatically tailor the PowerSC + Vault demo script to the customer's specific workloads.</w:t>
      </w:r>
    </w:p>
    <w:p w14:paraId="00100028" w14:textId="00100029">
      <w:pPr>
        <w:spacing w:after="80"/>
      </w:pPr>
      <w:r>
        <w:rPr>
          <w:sz w:val="22"/>
        </w:rPr>
        <w:t xml:space="preserve">2. Add a Certificate &amp; Quantum Posture Module: Introduce a 7th detection engine for Certificate Lifecycle &amp; Quantum-Safe Readiness, directly attaching PowerSC + HashiCorp Vault.</w:t>
      </w:r>
    </w:p>
    <w:p w14:paraId="0010002A" w14:textId="0010002B">
      <w:pPr>
        <w:spacing w:after="120"/>
      </w:pPr>
      <w:r>
        <w:rPr>
          <w:sz w:val="22"/>
        </w:rPr>
        <w:t xml:space="preserve">3. Combined IBM Bob Skillset: Merge power-security-discovery with powersc-vault-story-builder so sellers can discover gaps, generate executive talking points, and launch the live TechZone demo within a single workflow.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59d6ab5ef584cf6" /><Relationship Type="http://schemas.openxmlformats.org/officeDocument/2006/relationships/styles" Target="/word/styles.xml" Id="R0f7da95bc1804250" /><Relationship Type="http://schemas.openxmlformats.org/officeDocument/2006/relationships/theme" Target="/word/theme/theme1.xml" Id="R57b3eb71e071446b" /><Relationship Type="http://schemas.openxmlformats.org/officeDocument/2006/relationships/numbering" Target="/word/numbering.xml" Id="Rf813f16474064f5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2026-09-09T11:27:24Z</dcterms:created>
  <cp:lastModifiedBy>OfficeCLI</cp:lastModifiedBy>
  <dcterms:modified xsi:type="dcterms:W3CDTF">2026-09-09T11:27:24Z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2026-09-09T11:27:27Z</vt:lpwstr>
  </op:property>
</op:Properties>
</file>