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494112562"/>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11"/>
            <w:gridCol w:w="2253"/>
            <w:gridCol w:w="2628"/>
          </w:tblGrid>
          <w:tr w:rsidR="00A77740">
            <w:tc>
              <w:tcPr>
                <w:tcW w:w="3525" w:type="dxa"/>
                <w:tcBorders>
                  <w:bottom w:val="single" w:sz="18" w:space="0" w:color="808080" w:themeColor="background1" w:themeShade="80"/>
                  <w:right w:val="single" w:sz="18" w:space="0" w:color="808080" w:themeColor="background1" w:themeShade="80"/>
                </w:tcBorders>
                <w:vAlign w:val="center"/>
              </w:tcPr>
              <w:p w:rsidR="00A77740" w:rsidRDefault="00A77740" w:rsidP="00CA4FDB">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3FE52101520499F97592B2069CFA533"/>
                    </w:placeholder>
                    <w:dataBinding w:prefixMappings="xmlns:ns0='http://schemas.openxmlformats.org/package/2006/metadata/core-properties' xmlns:ns1='http://purl.org/dc/elements/1.1/'" w:xpath="/ns0:coreProperties[1]/ns1:title[1]" w:storeItemID="{6C3C8BC8-F283-45AE-878A-BAB7291924A1}"/>
                    <w:text/>
                  </w:sdtPr>
                  <w:sdtContent>
                    <w:r w:rsidR="00CA4FDB">
                      <w:rPr>
                        <w:rFonts w:asciiTheme="majorHAnsi" w:eastAsiaTheme="majorEastAsia" w:hAnsiTheme="majorHAnsi" w:cstheme="majorBidi"/>
                        <w:sz w:val="76"/>
                        <w:szCs w:val="72"/>
                      </w:rPr>
                      <w:t>F.E.A.R Corporation Financial Results</w:t>
                    </w:r>
                  </w:sdtContent>
                </w:sdt>
                <w:r w:rsidR="00CA4FDB">
                  <w:rPr>
                    <w:rFonts w:asciiTheme="majorHAnsi" w:eastAsiaTheme="majorEastAsia" w:hAnsiTheme="majorHAnsi" w:cstheme="majorBidi"/>
                    <w:sz w:val="76"/>
                    <w:szCs w:val="72"/>
                  </w:rPr>
                  <w:t xml:space="preserve"> 2016</w:t>
                </w:r>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72F869D35AF49149DD50F74209FA4B1"/>
                  </w:placeholder>
                  <w:dataBinding w:prefixMappings="xmlns:ns0='http://schemas.microsoft.com/office/2006/coverPageProps'" w:xpath="/ns0:CoverPageProperties[1]/ns0:PublishDate[1]" w:storeItemID="{55AF091B-3C7A-41E3-B477-F2FDAA23CFDA}"/>
                  <w:date w:fullDate="2016-11-14T00:00:00Z">
                    <w:dateFormat w:val="MMMM d"/>
                    <w:lid w:val="en-US"/>
                    <w:storeMappedDataAs w:val="dateTime"/>
                    <w:calendar w:val="gregorian"/>
                  </w:date>
                </w:sdtPr>
                <w:sdtContent>
                  <w:p w:rsidR="00A77740" w:rsidRDefault="00A7774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14</w:t>
                    </w:r>
                  </w:p>
                </w:sdtContent>
              </w:sdt>
              <w:sdt>
                <w:sdtPr>
                  <w:rPr>
                    <w:color w:val="6076B4"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39C0B6F514F848E2A8E56FE30FEA47AE"/>
                  </w:placeholder>
                  <w:dataBinding w:prefixMappings="xmlns:ns0='http://schemas.microsoft.com/office/2006/coverPageProps'" w:xpath="/ns0:CoverPageProperties[1]/ns0:PublishDate[1]" w:storeItemID="{55AF091B-3C7A-41E3-B477-F2FDAA23CFDA}"/>
                  <w:date w:fullDate="2016-11-14T00:00:00Z">
                    <w:dateFormat w:val="yyyy"/>
                    <w:lid w:val="en-US"/>
                    <w:storeMappedDataAs w:val="dateTime"/>
                    <w:calendar w:val="gregorian"/>
                  </w:date>
                </w:sdtPr>
                <w:sdtContent>
                  <w:p w:rsidR="00A77740" w:rsidRDefault="00A77740">
                    <w:pPr>
                      <w:pStyle w:val="NoSpacing"/>
                      <w:rPr>
                        <w:color w:val="6076B4" w:themeColor="accent1"/>
                        <w:sz w:val="200"/>
                        <w:szCs w:val="200"/>
                        <w14:numForm w14:val="oldStyle"/>
                      </w:rPr>
                    </w:pPr>
                    <w:r>
                      <w:rPr>
                        <w:color w:val="6076B4" w:themeColor="accent1"/>
                        <w:sz w:val="200"/>
                        <w:szCs w:val="200"/>
                        <w14:shadow w14:blurRad="50800" w14:dist="38100" w14:dir="2700000" w14:sx="100000" w14:sy="100000" w14:kx="0" w14:ky="0" w14:algn="tl">
                          <w14:srgbClr w14:val="000000">
                            <w14:alpha w14:val="60000"/>
                          </w14:srgbClr>
                        </w14:shadow>
                        <w14:numForm w14:val="oldStyle"/>
                      </w:rPr>
                      <w:t>2016</w:t>
                    </w:r>
                  </w:p>
                </w:sdtContent>
              </w:sdt>
            </w:tc>
          </w:tr>
          <w:tr w:rsidR="00CA4FDB">
            <w:sdt>
              <w:sdtPr>
                <w:alias w:val="Abstract"/>
                <w:id w:val="276713183"/>
                <w:placeholder>
                  <w:docPart w:val="A9BB417C2A34443A9E611CCDB086FB41"/>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77740" w:rsidRDefault="006074EA" w:rsidP="006074EA">
                    <w:pPr>
                      <w:pStyle w:val="NoSpacing"/>
                    </w:pPr>
                    <w:r>
                      <w:t>Unaudited annual financial results for the trading year ending 14 November 2016. The report contains the Director’s views, the Corporation’s consolidated financial statements and maps a way forward in the 2017 financial year.</w:t>
                    </w:r>
                  </w:p>
                </w:tc>
              </w:sdtContent>
            </w:sdt>
            <w:sdt>
              <w:sdtPr>
                <w:rPr>
                  <w:rFonts w:asciiTheme="majorHAnsi" w:eastAsiaTheme="majorEastAsia" w:hAnsiTheme="majorHAnsi" w:cstheme="majorBidi"/>
                  <w:sz w:val="36"/>
                  <w:szCs w:val="36"/>
                </w:rPr>
                <w:alias w:val="Subtitle"/>
                <w:id w:val="276713189"/>
                <w:placeholder>
                  <w:docPart w:val="F18A2719014B4A5B839740869C91962C"/>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A77740" w:rsidRDefault="00A77740" w:rsidP="006074E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Un</w:t>
                    </w:r>
                    <w:r w:rsidR="006074EA">
                      <w:rPr>
                        <w:rFonts w:asciiTheme="majorHAnsi" w:eastAsiaTheme="majorEastAsia" w:hAnsiTheme="majorHAnsi" w:cstheme="majorBidi"/>
                        <w:sz w:val="36"/>
                        <w:szCs w:val="36"/>
                      </w:rPr>
                      <w:t>audite</w:t>
                    </w:r>
                    <w:r w:rsidR="00CA4FDB">
                      <w:rPr>
                        <w:rFonts w:asciiTheme="majorHAnsi" w:eastAsiaTheme="majorEastAsia" w:hAnsiTheme="majorHAnsi" w:cstheme="majorBidi"/>
                        <w:sz w:val="36"/>
                        <w:szCs w:val="36"/>
                      </w:rPr>
                      <w:t>d Annual Financial Statements</w:t>
                    </w:r>
                  </w:p>
                </w:tc>
              </w:sdtContent>
            </w:sdt>
          </w:tr>
        </w:tbl>
        <w:p w:rsidR="00A77740" w:rsidRDefault="00A77740"/>
        <w:p w:rsidR="00A77740" w:rsidRDefault="00A77740">
          <w:pPr>
            <w:rPr>
              <w:rFonts w:asciiTheme="majorHAnsi" w:eastAsiaTheme="majorEastAsia" w:hAnsiTheme="majorHAnsi" w:cstheme="majorBidi"/>
              <w:b/>
              <w:bCs/>
              <w:color w:val="42558C" w:themeColor="accent1" w:themeShade="BF"/>
              <w:sz w:val="28"/>
              <w:szCs w:val="28"/>
              <w:lang w:eastAsia="ja-JP"/>
            </w:rPr>
          </w:pPr>
          <w:r>
            <w:br w:type="page"/>
          </w:r>
        </w:p>
      </w:sdtContent>
    </w:sdt>
    <w:sdt>
      <w:sdtPr>
        <w:id w:val="-8548111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560A3" w:rsidRDefault="001560A3">
          <w:pPr>
            <w:pStyle w:val="TOCHeading"/>
          </w:pPr>
          <w:r>
            <w:t>Contents</w:t>
          </w:r>
        </w:p>
        <w:p w:rsidR="00CA4FDB" w:rsidRDefault="001560A3">
          <w:pPr>
            <w:pStyle w:val="TOC1"/>
            <w:tabs>
              <w:tab w:val="right" w:leader="dot" w:pos="9350"/>
            </w:tabs>
            <w:rPr>
              <w:noProof/>
              <w:lang w:eastAsia="en-US"/>
            </w:rPr>
          </w:pPr>
          <w:r>
            <w:fldChar w:fldCharType="begin"/>
          </w:r>
          <w:r>
            <w:instrText xml:space="preserve"> TOC \o "1-3" \h \z \u </w:instrText>
          </w:r>
          <w:r>
            <w:fldChar w:fldCharType="separate"/>
          </w:r>
          <w:hyperlink w:anchor="_Toc467594168" w:history="1">
            <w:r w:rsidR="00CA4FDB" w:rsidRPr="00605519">
              <w:rPr>
                <w:rStyle w:val="Hyperlink"/>
                <w:noProof/>
              </w:rPr>
              <w:t>Directors’ Report</w:t>
            </w:r>
            <w:r w:rsidR="00CA4FDB">
              <w:rPr>
                <w:noProof/>
                <w:webHidden/>
              </w:rPr>
              <w:tab/>
            </w:r>
            <w:r w:rsidR="00CA4FDB">
              <w:rPr>
                <w:noProof/>
                <w:webHidden/>
              </w:rPr>
              <w:fldChar w:fldCharType="begin"/>
            </w:r>
            <w:r w:rsidR="00CA4FDB">
              <w:rPr>
                <w:noProof/>
                <w:webHidden/>
              </w:rPr>
              <w:instrText xml:space="preserve"> PAGEREF _Toc467594168 \h </w:instrText>
            </w:r>
            <w:r w:rsidR="00CA4FDB">
              <w:rPr>
                <w:noProof/>
                <w:webHidden/>
              </w:rPr>
            </w:r>
            <w:r w:rsidR="00CA4FDB">
              <w:rPr>
                <w:noProof/>
                <w:webHidden/>
              </w:rPr>
              <w:fldChar w:fldCharType="separate"/>
            </w:r>
            <w:r w:rsidR="00CA4FDB">
              <w:rPr>
                <w:noProof/>
                <w:webHidden/>
              </w:rPr>
              <w:t>3</w:t>
            </w:r>
            <w:r w:rsidR="00CA4FDB">
              <w:rPr>
                <w:noProof/>
                <w:webHidden/>
              </w:rPr>
              <w:fldChar w:fldCharType="end"/>
            </w:r>
          </w:hyperlink>
        </w:p>
        <w:p w:rsidR="00CA4FDB" w:rsidRDefault="00CA4FDB">
          <w:pPr>
            <w:pStyle w:val="TOC2"/>
            <w:tabs>
              <w:tab w:val="right" w:leader="dot" w:pos="9350"/>
            </w:tabs>
            <w:rPr>
              <w:noProof/>
              <w:lang w:eastAsia="en-US"/>
            </w:rPr>
          </w:pPr>
          <w:hyperlink w:anchor="_Toc467594169" w:history="1">
            <w:r w:rsidRPr="00605519">
              <w:rPr>
                <w:rStyle w:val="Hyperlink"/>
                <w:noProof/>
              </w:rPr>
              <w:t>Directors’ details</w:t>
            </w:r>
            <w:r>
              <w:rPr>
                <w:noProof/>
                <w:webHidden/>
              </w:rPr>
              <w:tab/>
            </w:r>
            <w:r>
              <w:rPr>
                <w:noProof/>
                <w:webHidden/>
              </w:rPr>
              <w:fldChar w:fldCharType="begin"/>
            </w:r>
            <w:r>
              <w:rPr>
                <w:noProof/>
                <w:webHidden/>
              </w:rPr>
              <w:instrText xml:space="preserve"> PAGEREF _Toc467594169 \h </w:instrText>
            </w:r>
            <w:r>
              <w:rPr>
                <w:noProof/>
                <w:webHidden/>
              </w:rPr>
            </w:r>
            <w:r>
              <w:rPr>
                <w:noProof/>
                <w:webHidden/>
              </w:rPr>
              <w:fldChar w:fldCharType="separate"/>
            </w:r>
            <w:r>
              <w:rPr>
                <w:noProof/>
                <w:webHidden/>
              </w:rPr>
              <w:t>3</w:t>
            </w:r>
            <w:r>
              <w:rPr>
                <w:noProof/>
                <w:webHidden/>
              </w:rPr>
              <w:fldChar w:fldCharType="end"/>
            </w:r>
          </w:hyperlink>
        </w:p>
        <w:p w:rsidR="00CA4FDB" w:rsidRDefault="00CA4FDB">
          <w:pPr>
            <w:pStyle w:val="TOC2"/>
            <w:tabs>
              <w:tab w:val="right" w:leader="dot" w:pos="9350"/>
            </w:tabs>
            <w:rPr>
              <w:noProof/>
              <w:lang w:eastAsia="en-US"/>
            </w:rPr>
          </w:pPr>
          <w:hyperlink w:anchor="_Toc467594170" w:history="1">
            <w:r w:rsidRPr="00605519">
              <w:rPr>
                <w:rStyle w:val="Hyperlink"/>
                <w:noProof/>
              </w:rPr>
              <w:t>Principal activities</w:t>
            </w:r>
            <w:r>
              <w:rPr>
                <w:noProof/>
                <w:webHidden/>
              </w:rPr>
              <w:tab/>
            </w:r>
            <w:r>
              <w:rPr>
                <w:noProof/>
                <w:webHidden/>
              </w:rPr>
              <w:fldChar w:fldCharType="begin"/>
            </w:r>
            <w:r>
              <w:rPr>
                <w:noProof/>
                <w:webHidden/>
              </w:rPr>
              <w:instrText xml:space="preserve"> PAGEREF _Toc467594170 \h </w:instrText>
            </w:r>
            <w:r>
              <w:rPr>
                <w:noProof/>
                <w:webHidden/>
              </w:rPr>
            </w:r>
            <w:r>
              <w:rPr>
                <w:noProof/>
                <w:webHidden/>
              </w:rPr>
              <w:fldChar w:fldCharType="separate"/>
            </w:r>
            <w:r>
              <w:rPr>
                <w:noProof/>
                <w:webHidden/>
              </w:rPr>
              <w:t>4</w:t>
            </w:r>
            <w:r>
              <w:rPr>
                <w:noProof/>
                <w:webHidden/>
              </w:rPr>
              <w:fldChar w:fldCharType="end"/>
            </w:r>
          </w:hyperlink>
        </w:p>
        <w:p w:rsidR="00CA4FDB" w:rsidRDefault="00CA4FDB">
          <w:pPr>
            <w:pStyle w:val="TOC2"/>
            <w:tabs>
              <w:tab w:val="right" w:leader="dot" w:pos="9350"/>
            </w:tabs>
            <w:rPr>
              <w:noProof/>
              <w:lang w:eastAsia="en-US"/>
            </w:rPr>
          </w:pPr>
          <w:hyperlink w:anchor="_Toc467594171" w:history="1">
            <w:r w:rsidRPr="00605519">
              <w:rPr>
                <w:rStyle w:val="Hyperlink"/>
                <w:noProof/>
              </w:rPr>
              <w:t>Review of operations and financial results</w:t>
            </w:r>
            <w:r>
              <w:rPr>
                <w:noProof/>
                <w:webHidden/>
              </w:rPr>
              <w:tab/>
            </w:r>
            <w:r>
              <w:rPr>
                <w:noProof/>
                <w:webHidden/>
              </w:rPr>
              <w:fldChar w:fldCharType="begin"/>
            </w:r>
            <w:r>
              <w:rPr>
                <w:noProof/>
                <w:webHidden/>
              </w:rPr>
              <w:instrText xml:space="preserve"> PAGEREF _Toc467594171 \h </w:instrText>
            </w:r>
            <w:r>
              <w:rPr>
                <w:noProof/>
                <w:webHidden/>
              </w:rPr>
            </w:r>
            <w:r>
              <w:rPr>
                <w:noProof/>
                <w:webHidden/>
              </w:rPr>
              <w:fldChar w:fldCharType="separate"/>
            </w:r>
            <w:r>
              <w:rPr>
                <w:noProof/>
                <w:webHidden/>
              </w:rPr>
              <w:t>4</w:t>
            </w:r>
            <w:r>
              <w:rPr>
                <w:noProof/>
                <w:webHidden/>
              </w:rPr>
              <w:fldChar w:fldCharType="end"/>
            </w:r>
          </w:hyperlink>
        </w:p>
        <w:p w:rsidR="00CA4FDB" w:rsidRDefault="00CA4FDB">
          <w:pPr>
            <w:pStyle w:val="TOC3"/>
            <w:tabs>
              <w:tab w:val="right" w:leader="dot" w:pos="9350"/>
            </w:tabs>
            <w:rPr>
              <w:noProof/>
              <w:lang w:eastAsia="en-US"/>
            </w:rPr>
          </w:pPr>
          <w:hyperlink w:anchor="_Toc467594172" w:history="1">
            <w:r w:rsidRPr="00605519">
              <w:rPr>
                <w:rStyle w:val="Hyperlink"/>
                <w:noProof/>
              </w:rPr>
              <w:t>Significant changes in the state of affairs</w:t>
            </w:r>
            <w:r>
              <w:rPr>
                <w:noProof/>
                <w:webHidden/>
              </w:rPr>
              <w:tab/>
            </w:r>
            <w:r>
              <w:rPr>
                <w:noProof/>
                <w:webHidden/>
              </w:rPr>
              <w:fldChar w:fldCharType="begin"/>
            </w:r>
            <w:r>
              <w:rPr>
                <w:noProof/>
                <w:webHidden/>
              </w:rPr>
              <w:instrText xml:space="preserve"> PAGEREF _Toc467594172 \h </w:instrText>
            </w:r>
            <w:r>
              <w:rPr>
                <w:noProof/>
                <w:webHidden/>
              </w:rPr>
            </w:r>
            <w:r>
              <w:rPr>
                <w:noProof/>
                <w:webHidden/>
              </w:rPr>
              <w:fldChar w:fldCharType="separate"/>
            </w:r>
            <w:r>
              <w:rPr>
                <w:noProof/>
                <w:webHidden/>
              </w:rPr>
              <w:t>5</w:t>
            </w:r>
            <w:r>
              <w:rPr>
                <w:noProof/>
                <w:webHidden/>
              </w:rPr>
              <w:fldChar w:fldCharType="end"/>
            </w:r>
          </w:hyperlink>
        </w:p>
        <w:p w:rsidR="00CA4FDB" w:rsidRDefault="00CA4FDB">
          <w:pPr>
            <w:pStyle w:val="TOC3"/>
            <w:tabs>
              <w:tab w:val="right" w:leader="dot" w:pos="9350"/>
            </w:tabs>
            <w:rPr>
              <w:noProof/>
              <w:lang w:eastAsia="en-US"/>
            </w:rPr>
          </w:pPr>
          <w:hyperlink w:anchor="_Toc467594173" w:history="1">
            <w:r w:rsidRPr="00605519">
              <w:rPr>
                <w:rStyle w:val="Hyperlink"/>
                <w:noProof/>
              </w:rPr>
              <w:t>Dividends</w:t>
            </w:r>
            <w:r>
              <w:rPr>
                <w:noProof/>
                <w:webHidden/>
              </w:rPr>
              <w:tab/>
            </w:r>
            <w:r>
              <w:rPr>
                <w:noProof/>
                <w:webHidden/>
              </w:rPr>
              <w:fldChar w:fldCharType="begin"/>
            </w:r>
            <w:r>
              <w:rPr>
                <w:noProof/>
                <w:webHidden/>
              </w:rPr>
              <w:instrText xml:space="preserve"> PAGEREF _Toc467594173 \h </w:instrText>
            </w:r>
            <w:r>
              <w:rPr>
                <w:noProof/>
                <w:webHidden/>
              </w:rPr>
            </w:r>
            <w:r>
              <w:rPr>
                <w:noProof/>
                <w:webHidden/>
              </w:rPr>
              <w:fldChar w:fldCharType="separate"/>
            </w:r>
            <w:r>
              <w:rPr>
                <w:noProof/>
                <w:webHidden/>
              </w:rPr>
              <w:t>5</w:t>
            </w:r>
            <w:r>
              <w:rPr>
                <w:noProof/>
                <w:webHidden/>
              </w:rPr>
              <w:fldChar w:fldCharType="end"/>
            </w:r>
          </w:hyperlink>
        </w:p>
        <w:p w:rsidR="00CA4FDB" w:rsidRDefault="00CA4FDB">
          <w:pPr>
            <w:pStyle w:val="TOC3"/>
            <w:tabs>
              <w:tab w:val="right" w:leader="dot" w:pos="9350"/>
            </w:tabs>
            <w:rPr>
              <w:noProof/>
              <w:lang w:eastAsia="en-US"/>
            </w:rPr>
          </w:pPr>
          <w:hyperlink w:anchor="_Toc467594174" w:history="1">
            <w:r w:rsidRPr="00605519">
              <w:rPr>
                <w:rStyle w:val="Hyperlink"/>
                <w:noProof/>
              </w:rPr>
              <w:t>Events arising since the end of the reporting period</w:t>
            </w:r>
            <w:r>
              <w:rPr>
                <w:noProof/>
                <w:webHidden/>
              </w:rPr>
              <w:tab/>
            </w:r>
            <w:r>
              <w:rPr>
                <w:noProof/>
                <w:webHidden/>
              </w:rPr>
              <w:fldChar w:fldCharType="begin"/>
            </w:r>
            <w:r>
              <w:rPr>
                <w:noProof/>
                <w:webHidden/>
              </w:rPr>
              <w:instrText xml:space="preserve"> PAGEREF _Toc467594174 \h </w:instrText>
            </w:r>
            <w:r>
              <w:rPr>
                <w:noProof/>
                <w:webHidden/>
              </w:rPr>
            </w:r>
            <w:r>
              <w:rPr>
                <w:noProof/>
                <w:webHidden/>
              </w:rPr>
              <w:fldChar w:fldCharType="separate"/>
            </w:r>
            <w:r>
              <w:rPr>
                <w:noProof/>
                <w:webHidden/>
              </w:rPr>
              <w:t>5</w:t>
            </w:r>
            <w:r>
              <w:rPr>
                <w:noProof/>
                <w:webHidden/>
              </w:rPr>
              <w:fldChar w:fldCharType="end"/>
            </w:r>
          </w:hyperlink>
        </w:p>
        <w:p w:rsidR="00CA4FDB" w:rsidRDefault="00CA4FDB">
          <w:pPr>
            <w:pStyle w:val="TOC3"/>
            <w:tabs>
              <w:tab w:val="right" w:leader="dot" w:pos="9350"/>
            </w:tabs>
            <w:rPr>
              <w:noProof/>
              <w:lang w:eastAsia="en-US"/>
            </w:rPr>
          </w:pPr>
          <w:hyperlink w:anchor="_Toc467594175" w:history="1">
            <w:r w:rsidRPr="00605519">
              <w:rPr>
                <w:rStyle w:val="Hyperlink"/>
                <w:noProof/>
              </w:rPr>
              <w:t>Likely developments, business strategies and prospects</w:t>
            </w:r>
            <w:r>
              <w:rPr>
                <w:noProof/>
                <w:webHidden/>
              </w:rPr>
              <w:tab/>
            </w:r>
            <w:r>
              <w:rPr>
                <w:noProof/>
                <w:webHidden/>
              </w:rPr>
              <w:fldChar w:fldCharType="begin"/>
            </w:r>
            <w:r>
              <w:rPr>
                <w:noProof/>
                <w:webHidden/>
              </w:rPr>
              <w:instrText xml:space="preserve"> PAGEREF _Toc467594175 \h </w:instrText>
            </w:r>
            <w:r>
              <w:rPr>
                <w:noProof/>
                <w:webHidden/>
              </w:rPr>
            </w:r>
            <w:r>
              <w:rPr>
                <w:noProof/>
                <w:webHidden/>
              </w:rPr>
              <w:fldChar w:fldCharType="separate"/>
            </w:r>
            <w:r>
              <w:rPr>
                <w:noProof/>
                <w:webHidden/>
              </w:rPr>
              <w:t>6</w:t>
            </w:r>
            <w:r>
              <w:rPr>
                <w:noProof/>
                <w:webHidden/>
              </w:rPr>
              <w:fldChar w:fldCharType="end"/>
            </w:r>
          </w:hyperlink>
        </w:p>
        <w:p w:rsidR="00CA4FDB" w:rsidRDefault="00CA4FDB">
          <w:pPr>
            <w:pStyle w:val="TOC3"/>
            <w:tabs>
              <w:tab w:val="right" w:leader="dot" w:pos="9350"/>
            </w:tabs>
            <w:rPr>
              <w:noProof/>
              <w:lang w:eastAsia="en-US"/>
            </w:rPr>
          </w:pPr>
          <w:hyperlink w:anchor="_Toc467594176" w:history="1">
            <w:r w:rsidRPr="00605519">
              <w:rPr>
                <w:rStyle w:val="Hyperlink"/>
                <w:noProof/>
              </w:rPr>
              <w:t>Material business risks faced by the Corporation</w:t>
            </w:r>
            <w:r>
              <w:rPr>
                <w:noProof/>
                <w:webHidden/>
              </w:rPr>
              <w:tab/>
            </w:r>
            <w:r>
              <w:rPr>
                <w:noProof/>
                <w:webHidden/>
              </w:rPr>
              <w:fldChar w:fldCharType="begin"/>
            </w:r>
            <w:r>
              <w:rPr>
                <w:noProof/>
                <w:webHidden/>
              </w:rPr>
              <w:instrText xml:space="preserve"> PAGEREF _Toc467594176 \h </w:instrText>
            </w:r>
            <w:r>
              <w:rPr>
                <w:noProof/>
                <w:webHidden/>
              </w:rPr>
            </w:r>
            <w:r>
              <w:rPr>
                <w:noProof/>
                <w:webHidden/>
              </w:rPr>
              <w:fldChar w:fldCharType="separate"/>
            </w:r>
            <w:r>
              <w:rPr>
                <w:noProof/>
                <w:webHidden/>
              </w:rPr>
              <w:t>6</w:t>
            </w:r>
            <w:r>
              <w:rPr>
                <w:noProof/>
                <w:webHidden/>
              </w:rPr>
              <w:fldChar w:fldCharType="end"/>
            </w:r>
          </w:hyperlink>
        </w:p>
        <w:p w:rsidR="00CA4FDB" w:rsidRDefault="00CA4FDB">
          <w:pPr>
            <w:pStyle w:val="TOC2"/>
            <w:tabs>
              <w:tab w:val="right" w:leader="dot" w:pos="9350"/>
            </w:tabs>
            <w:rPr>
              <w:noProof/>
              <w:lang w:eastAsia="en-US"/>
            </w:rPr>
          </w:pPr>
          <w:hyperlink w:anchor="_Toc467594177" w:history="1">
            <w:r w:rsidRPr="00605519">
              <w:rPr>
                <w:rStyle w:val="Hyperlink"/>
                <w:noProof/>
              </w:rPr>
              <w:t>Consolidated profit and loss account for the year ended 14 November 2016</w:t>
            </w:r>
            <w:r>
              <w:rPr>
                <w:noProof/>
                <w:webHidden/>
              </w:rPr>
              <w:tab/>
            </w:r>
            <w:r>
              <w:rPr>
                <w:noProof/>
                <w:webHidden/>
              </w:rPr>
              <w:fldChar w:fldCharType="begin"/>
            </w:r>
            <w:r>
              <w:rPr>
                <w:noProof/>
                <w:webHidden/>
              </w:rPr>
              <w:instrText xml:space="preserve"> PAGEREF _Toc467594177 \h </w:instrText>
            </w:r>
            <w:r>
              <w:rPr>
                <w:noProof/>
                <w:webHidden/>
              </w:rPr>
            </w:r>
            <w:r>
              <w:rPr>
                <w:noProof/>
                <w:webHidden/>
              </w:rPr>
              <w:fldChar w:fldCharType="separate"/>
            </w:r>
            <w:r>
              <w:rPr>
                <w:noProof/>
                <w:webHidden/>
              </w:rPr>
              <w:t>7</w:t>
            </w:r>
            <w:r>
              <w:rPr>
                <w:noProof/>
                <w:webHidden/>
              </w:rPr>
              <w:fldChar w:fldCharType="end"/>
            </w:r>
          </w:hyperlink>
        </w:p>
        <w:p w:rsidR="00CA4FDB" w:rsidRDefault="00CA4FDB">
          <w:pPr>
            <w:pStyle w:val="TOC2"/>
            <w:tabs>
              <w:tab w:val="right" w:leader="dot" w:pos="9350"/>
            </w:tabs>
            <w:rPr>
              <w:noProof/>
              <w:lang w:eastAsia="en-US"/>
            </w:rPr>
          </w:pPr>
          <w:hyperlink w:anchor="_Toc467594178" w:history="1">
            <w:r w:rsidRPr="00605519">
              <w:rPr>
                <w:rStyle w:val="Hyperlink"/>
                <w:noProof/>
              </w:rPr>
              <w:t>Consolidated Statement of Financial Position as at 14 November 2016</w:t>
            </w:r>
            <w:r>
              <w:rPr>
                <w:noProof/>
                <w:webHidden/>
              </w:rPr>
              <w:tab/>
            </w:r>
            <w:r>
              <w:rPr>
                <w:noProof/>
                <w:webHidden/>
              </w:rPr>
              <w:fldChar w:fldCharType="begin"/>
            </w:r>
            <w:r>
              <w:rPr>
                <w:noProof/>
                <w:webHidden/>
              </w:rPr>
              <w:instrText xml:space="preserve"> PAGEREF _Toc467594178 \h </w:instrText>
            </w:r>
            <w:r>
              <w:rPr>
                <w:noProof/>
                <w:webHidden/>
              </w:rPr>
            </w:r>
            <w:r>
              <w:rPr>
                <w:noProof/>
                <w:webHidden/>
              </w:rPr>
              <w:fldChar w:fldCharType="separate"/>
            </w:r>
            <w:r>
              <w:rPr>
                <w:noProof/>
                <w:webHidden/>
              </w:rPr>
              <w:t>8</w:t>
            </w:r>
            <w:r>
              <w:rPr>
                <w:noProof/>
                <w:webHidden/>
              </w:rPr>
              <w:fldChar w:fldCharType="end"/>
            </w:r>
          </w:hyperlink>
        </w:p>
        <w:p w:rsidR="00CA4FDB" w:rsidRDefault="00CA4FDB">
          <w:pPr>
            <w:pStyle w:val="TOC2"/>
            <w:tabs>
              <w:tab w:val="right" w:leader="dot" w:pos="9350"/>
            </w:tabs>
            <w:rPr>
              <w:noProof/>
              <w:lang w:eastAsia="en-US"/>
            </w:rPr>
          </w:pPr>
          <w:hyperlink w:anchor="_Toc467594179" w:history="1">
            <w:r w:rsidRPr="00605519">
              <w:rPr>
                <w:rStyle w:val="Hyperlink"/>
                <w:noProof/>
              </w:rPr>
              <w:t>Consolidated Statement of Financial Position as at 30 June 2016</w:t>
            </w:r>
            <w:r>
              <w:rPr>
                <w:noProof/>
                <w:webHidden/>
              </w:rPr>
              <w:tab/>
            </w:r>
            <w:r>
              <w:rPr>
                <w:noProof/>
                <w:webHidden/>
              </w:rPr>
              <w:fldChar w:fldCharType="begin"/>
            </w:r>
            <w:r>
              <w:rPr>
                <w:noProof/>
                <w:webHidden/>
              </w:rPr>
              <w:instrText xml:space="preserve"> PAGEREF _Toc467594179 \h </w:instrText>
            </w:r>
            <w:r>
              <w:rPr>
                <w:noProof/>
                <w:webHidden/>
              </w:rPr>
            </w:r>
            <w:r>
              <w:rPr>
                <w:noProof/>
                <w:webHidden/>
              </w:rPr>
              <w:fldChar w:fldCharType="separate"/>
            </w:r>
            <w:r>
              <w:rPr>
                <w:noProof/>
                <w:webHidden/>
              </w:rPr>
              <w:t>9</w:t>
            </w:r>
            <w:r>
              <w:rPr>
                <w:noProof/>
                <w:webHidden/>
              </w:rPr>
              <w:fldChar w:fldCharType="end"/>
            </w:r>
          </w:hyperlink>
        </w:p>
        <w:p w:rsidR="00CA4FDB" w:rsidRDefault="00CA4FDB">
          <w:pPr>
            <w:pStyle w:val="TOC2"/>
            <w:tabs>
              <w:tab w:val="right" w:leader="dot" w:pos="9350"/>
            </w:tabs>
            <w:rPr>
              <w:noProof/>
              <w:lang w:eastAsia="en-US"/>
            </w:rPr>
          </w:pPr>
          <w:hyperlink w:anchor="_Toc467594180" w:history="1">
            <w:r w:rsidRPr="00605519">
              <w:rPr>
                <w:rStyle w:val="Hyperlink"/>
                <w:noProof/>
              </w:rPr>
              <w:t>Capital management policies and procedures</w:t>
            </w:r>
            <w:r>
              <w:rPr>
                <w:noProof/>
                <w:webHidden/>
              </w:rPr>
              <w:tab/>
            </w:r>
            <w:r>
              <w:rPr>
                <w:noProof/>
                <w:webHidden/>
              </w:rPr>
              <w:fldChar w:fldCharType="begin"/>
            </w:r>
            <w:r>
              <w:rPr>
                <w:noProof/>
                <w:webHidden/>
              </w:rPr>
              <w:instrText xml:space="preserve"> PAGEREF _Toc467594180 \h </w:instrText>
            </w:r>
            <w:r>
              <w:rPr>
                <w:noProof/>
                <w:webHidden/>
              </w:rPr>
            </w:r>
            <w:r>
              <w:rPr>
                <w:noProof/>
                <w:webHidden/>
              </w:rPr>
              <w:fldChar w:fldCharType="separate"/>
            </w:r>
            <w:r>
              <w:rPr>
                <w:noProof/>
                <w:webHidden/>
              </w:rPr>
              <w:t>10</w:t>
            </w:r>
            <w:r>
              <w:rPr>
                <w:noProof/>
                <w:webHidden/>
              </w:rPr>
              <w:fldChar w:fldCharType="end"/>
            </w:r>
          </w:hyperlink>
        </w:p>
        <w:p w:rsidR="00CA4FDB" w:rsidRDefault="00CA4FDB">
          <w:pPr>
            <w:pStyle w:val="TOC2"/>
            <w:tabs>
              <w:tab w:val="right" w:leader="dot" w:pos="9350"/>
            </w:tabs>
            <w:rPr>
              <w:noProof/>
              <w:lang w:eastAsia="en-US"/>
            </w:rPr>
          </w:pPr>
          <w:hyperlink w:anchor="_Toc467594181" w:history="1">
            <w:r w:rsidRPr="00605519">
              <w:rPr>
                <w:rStyle w:val="Hyperlink"/>
                <w:noProof/>
              </w:rPr>
              <w:t>Directors’ Declaration</w:t>
            </w:r>
            <w:r>
              <w:rPr>
                <w:noProof/>
                <w:webHidden/>
              </w:rPr>
              <w:tab/>
            </w:r>
            <w:r>
              <w:rPr>
                <w:noProof/>
                <w:webHidden/>
              </w:rPr>
              <w:fldChar w:fldCharType="begin"/>
            </w:r>
            <w:r>
              <w:rPr>
                <w:noProof/>
                <w:webHidden/>
              </w:rPr>
              <w:instrText xml:space="preserve"> PAGEREF _Toc467594181 \h </w:instrText>
            </w:r>
            <w:r>
              <w:rPr>
                <w:noProof/>
                <w:webHidden/>
              </w:rPr>
            </w:r>
            <w:r>
              <w:rPr>
                <w:noProof/>
                <w:webHidden/>
              </w:rPr>
              <w:fldChar w:fldCharType="separate"/>
            </w:r>
            <w:r>
              <w:rPr>
                <w:noProof/>
                <w:webHidden/>
              </w:rPr>
              <w:t>10</w:t>
            </w:r>
            <w:r>
              <w:rPr>
                <w:noProof/>
                <w:webHidden/>
              </w:rPr>
              <w:fldChar w:fldCharType="end"/>
            </w:r>
          </w:hyperlink>
        </w:p>
        <w:p w:rsidR="001560A3" w:rsidRDefault="001560A3">
          <w:r>
            <w:rPr>
              <w:b/>
              <w:bCs/>
              <w:noProof/>
            </w:rPr>
            <w:fldChar w:fldCharType="end"/>
          </w:r>
        </w:p>
      </w:sdtContent>
    </w:sdt>
    <w:p w:rsidR="001560A3" w:rsidRDefault="001560A3" w:rsidP="00B71075">
      <w:pPr>
        <w:pStyle w:val="Default"/>
        <w:rPr>
          <w:sz w:val="19"/>
          <w:szCs w:val="19"/>
        </w:rPr>
      </w:pP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ASX Additional Information</w:t>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t xml:space="preserve">      </w:t>
      </w:r>
      <w:r w:rsidRPr="001560A3">
        <w:rPr>
          <w:rFonts w:asciiTheme="minorHAnsi" w:hAnsiTheme="minorHAnsi"/>
          <w:sz w:val="20"/>
          <w:szCs w:val="19"/>
        </w:rPr>
        <w:t xml:space="preserve"> </w:t>
      </w:r>
      <w:r w:rsidR="001560A3">
        <w:rPr>
          <w:rFonts w:asciiTheme="minorHAnsi" w:hAnsiTheme="minorHAnsi"/>
          <w:sz w:val="20"/>
          <w:szCs w:val="19"/>
        </w:rPr>
        <w:t xml:space="preserve">  </w:t>
      </w:r>
      <w:r w:rsidR="007D430C">
        <w:rPr>
          <w:rFonts w:asciiTheme="minorHAnsi" w:hAnsiTheme="minorHAnsi"/>
          <w:sz w:val="20"/>
          <w:szCs w:val="19"/>
        </w:rPr>
        <w:t xml:space="preserve">  </w:t>
      </w:r>
      <w:r w:rsidRPr="001560A3">
        <w:rPr>
          <w:rFonts w:asciiTheme="minorHAnsi" w:hAnsiTheme="minorHAnsi"/>
          <w:sz w:val="20"/>
          <w:szCs w:val="19"/>
        </w:rPr>
        <w:t>Appendix A: Organising the Statement of Profit or Loss by Function of Expenses</w:t>
      </w:r>
      <w:r w:rsidR="001560A3" w:rsidRPr="001560A3">
        <w:rPr>
          <w:rFonts w:asciiTheme="minorHAnsi" w:hAnsiTheme="minorHAnsi"/>
          <w:sz w:val="20"/>
          <w:szCs w:val="19"/>
        </w:rPr>
        <w:tab/>
        <w:t xml:space="preserve">      </w:t>
      </w:r>
      <w:r w:rsidRPr="001560A3">
        <w:rPr>
          <w:rFonts w:asciiTheme="minorHAnsi" w:hAnsiTheme="minorHAnsi"/>
          <w:sz w:val="20"/>
          <w:szCs w:val="19"/>
        </w:rPr>
        <w:t xml:space="preserve"> </w:t>
      </w:r>
      <w:r w:rsidR="001560A3">
        <w:rPr>
          <w:rFonts w:asciiTheme="minorHAnsi" w:hAnsiTheme="minorHAnsi"/>
          <w:sz w:val="20"/>
          <w:szCs w:val="19"/>
        </w:rPr>
        <w:t xml:space="preserve">  </w:t>
      </w:r>
      <w:r w:rsidR="007D430C">
        <w:rPr>
          <w:rFonts w:asciiTheme="minorHAnsi" w:hAnsiTheme="minorHAnsi"/>
          <w:sz w:val="20"/>
          <w:szCs w:val="19"/>
        </w:rPr>
        <w:t xml:space="preserve">  </w:t>
      </w: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Appendix B: Statement of Profit or Loss and Other Comprehensive Income Presented in Two Statements</w:t>
      </w:r>
      <w:r w:rsidR="001560A3">
        <w:rPr>
          <w:rFonts w:asciiTheme="minorHAnsi" w:hAnsiTheme="minorHAnsi"/>
          <w:sz w:val="20"/>
          <w:szCs w:val="19"/>
        </w:rPr>
        <w:tab/>
        <w:t xml:space="preserve">         </w:t>
      </w:r>
      <w:r w:rsidR="006074EA">
        <w:rPr>
          <w:rFonts w:asciiTheme="minorHAnsi" w:hAnsiTheme="minorHAnsi"/>
          <w:sz w:val="20"/>
          <w:szCs w:val="19"/>
        </w:rPr>
        <w:t xml:space="preserve"> </w:t>
      </w: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 xml:space="preserve">Appendix C: Statement of Cash Flows Presented Using the Indirect Method </w:t>
      </w:r>
      <w:r w:rsidR="001560A3" w:rsidRPr="001560A3">
        <w:rPr>
          <w:rFonts w:asciiTheme="minorHAnsi" w:hAnsiTheme="minorHAnsi"/>
          <w:sz w:val="20"/>
          <w:szCs w:val="19"/>
        </w:rPr>
        <w:t xml:space="preserve">                                                  </w:t>
      </w:r>
      <w:r w:rsidR="001560A3">
        <w:rPr>
          <w:rFonts w:asciiTheme="minorHAnsi" w:hAnsiTheme="minorHAnsi"/>
          <w:sz w:val="20"/>
          <w:szCs w:val="19"/>
        </w:rPr>
        <w:tab/>
        <w:t xml:space="preserve">         </w:t>
      </w:r>
      <w:r w:rsidR="007D430C">
        <w:rPr>
          <w:rFonts w:asciiTheme="minorHAnsi" w:hAnsiTheme="minorHAnsi"/>
          <w:sz w:val="20"/>
          <w:szCs w:val="19"/>
        </w:rPr>
        <w:t xml:space="preserve">  </w:t>
      </w:r>
    </w:p>
    <w:p w:rsidR="00B71075" w:rsidRPr="001560A3" w:rsidRDefault="00B71075" w:rsidP="00B71075">
      <w:pPr>
        <w:pStyle w:val="Default"/>
        <w:rPr>
          <w:rFonts w:asciiTheme="minorHAnsi" w:hAnsiTheme="minorHAnsi"/>
          <w:sz w:val="20"/>
          <w:szCs w:val="19"/>
        </w:rPr>
      </w:pPr>
      <w:r w:rsidRPr="001560A3">
        <w:rPr>
          <w:rFonts w:asciiTheme="minorHAnsi" w:hAnsiTheme="minorHAnsi"/>
          <w:sz w:val="20"/>
          <w:szCs w:val="19"/>
        </w:rPr>
        <w:t xml:space="preserve">Appendix D: Additional Disclosures for Mining Exploration Companies </w:t>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r>
      <w:r w:rsidR="001560A3" w:rsidRPr="001560A3">
        <w:rPr>
          <w:rFonts w:asciiTheme="minorHAnsi" w:hAnsiTheme="minorHAnsi"/>
          <w:sz w:val="20"/>
          <w:szCs w:val="19"/>
        </w:rPr>
        <w:tab/>
        <w:t xml:space="preserve">       </w:t>
      </w:r>
      <w:r w:rsidR="001560A3">
        <w:rPr>
          <w:rFonts w:asciiTheme="minorHAnsi" w:hAnsiTheme="minorHAnsi"/>
          <w:sz w:val="20"/>
          <w:szCs w:val="19"/>
        </w:rPr>
        <w:tab/>
        <w:t xml:space="preserve">         </w:t>
      </w:r>
      <w:r w:rsidR="007D430C">
        <w:rPr>
          <w:rFonts w:asciiTheme="minorHAnsi" w:hAnsiTheme="minorHAnsi"/>
          <w:sz w:val="20"/>
          <w:szCs w:val="19"/>
        </w:rPr>
        <w:t xml:space="preserve">  </w:t>
      </w:r>
    </w:p>
    <w:p w:rsidR="00B71075" w:rsidRPr="001560A3" w:rsidRDefault="00B71075" w:rsidP="00B71075">
      <w:pPr>
        <w:rPr>
          <w:sz w:val="20"/>
          <w:szCs w:val="19"/>
        </w:rPr>
      </w:pPr>
      <w:r w:rsidRPr="001560A3">
        <w:rPr>
          <w:sz w:val="20"/>
          <w:szCs w:val="19"/>
        </w:rPr>
        <w:t xml:space="preserve">Appendix E: Summary of Directors’ Report Requirements </w:t>
      </w:r>
      <w:r w:rsidR="001560A3" w:rsidRPr="001560A3">
        <w:rPr>
          <w:sz w:val="20"/>
          <w:szCs w:val="19"/>
        </w:rPr>
        <w:tab/>
      </w:r>
      <w:r w:rsidR="001560A3" w:rsidRPr="001560A3">
        <w:rPr>
          <w:sz w:val="20"/>
          <w:szCs w:val="19"/>
        </w:rPr>
        <w:tab/>
      </w:r>
      <w:r w:rsidR="001560A3" w:rsidRPr="001560A3">
        <w:rPr>
          <w:sz w:val="20"/>
          <w:szCs w:val="19"/>
        </w:rPr>
        <w:tab/>
      </w:r>
      <w:r w:rsidR="001560A3" w:rsidRPr="001560A3">
        <w:rPr>
          <w:sz w:val="20"/>
          <w:szCs w:val="19"/>
        </w:rPr>
        <w:tab/>
      </w:r>
      <w:r w:rsidR="001560A3" w:rsidRPr="001560A3">
        <w:rPr>
          <w:sz w:val="20"/>
          <w:szCs w:val="19"/>
        </w:rPr>
        <w:tab/>
      </w:r>
      <w:r w:rsidR="001560A3" w:rsidRPr="001560A3">
        <w:rPr>
          <w:sz w:val="20"/>
          <w:szCs w:val="19"/>
        </w:rPr>
        <w:tab/>
        <w:t xml:space="preserve">         </w:t>
      </w:r>
    </w:p>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bookmarkStart w:id="0" w:name="_GoBack"/>
      <w:bookmarkEnd w:id="0"/>
    </w:p>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3B1E57" w:rsidRDefault="003B1E57" w:rsidP="00B71075"/>
    <w:p w:rsidR="00656EE3" w:rsidRDefault="00656EE3" w:rsidP="007962DD">
      <w:pPr>
        <w:pStyle w:val="Heading1"/>
      </w:pPr>
    </w:p>
    <w:p w:rsidR="007D430C" w:rsidRDefault="007D430C" w:rsidP="007D430C"/>
    <w:p w:rsidR="007D430C" w:rsidRDefault="007D430C" w:rsidP="007D430C"/>
    <w:p w:rsidR="007D430C" w:rsidRPr="007D430C" w:rsidRDefault="007D430C" w:rsidP="007D430C"/>
    <w:p w:rsidR="00656EE3" w:rsidRDefault="00656EE3" w:rsidP="00656EE3"/>
    <w:p w:rsidR="00F004FC" w:rsidRPr="00656EE3" w:rsidRDefault="00F004FC" w:rsidP="00656EE3"/>
    <w:p w:rsidR="003B1E57" w:rsidRDefault="003B1E57" w:rsidP="007962DD">
      <w:pPr>
        <w:pStyle w:val="Heading1"/>
      </w:pPr>
      <w:bookmarkStart w:id="1" w:name="_Toc467594168"/>
      <w:r>
        <w:lastRenderedPageBreak/>
        <w:t>Directors’ Report</w:t>
      </w:r>
      <w:bookmarkEnd w:id="1"/>
    </w:p>
    <w:p w:rsidR="003B1E57" w:rsidRPr="007D430C" w:rsidRDefault="00656EE3" w:rsidP="003B1E57">
      <w:pPr>
        <w:rPr>
          <w:rFonts w:ascii="Arial" w:hAnsi="Arial" w:cs="Arial"/>
        </w:rPr>
      </w:pPr>
      <w:r w:rsidRPr="007D430C">
        <w:rPr>
          <w:rFonts w:ascii="Arial" w:hAnsi="Arial" w:cs="Arial"/>
        </w:rPr>
        <w:t>The Directors of</w:t>
      </w:r>
      <w:r w:rsidR="003B1E57" w:rsidRPr="007D430C">
        <w:rPr>
          <w:rFonts w:ascii="Arial" w:hAnsi="Arial" w:cs="Arial"/>
        </w:rPr>
        <w:t xml:space="preserve"> </w:t>
      </w:r>
      <w:r w:rsidR="00C10A1A" w:rsidRPr="007D430C">
        <w:rPr>
          <w:rFonts w:ascii="Arial" w:hAnsi="Arial" w:cs="Arial"/>
        </w:rPr>
        <w:t>F.E.A.R CORPORATION</w:t>
      </w:r>
      <w:r w:rsidR="003B1E57" w:rsidRPr="007D430C">
        <w:rPr>
          <w:rFonts w:ascii="Arial" w:hAnsi="Arial" w:cs="Arial"/>
        </w:rPr>
        <w:t xml:space="preserve"> (‘</w:t>
      </w:r>
      <w:r w:rsidRPr="007D430C">
        <w:rPr>
          <w:rFonts w:ascii="Arial" w:hAnsi="Arial" w:cs="Arial"/>
        </w:rPr>
        <w:t>F.E.A.R CORPORATIO</w:t>
      </w:r>
      <w:r w:rsidR="00C10A1A" w:rsidRPr="007D430C">
        <w:rPr>
          <w:rFonts w:ascii="Arial" w:hAnsi="Arial" w:cs="Arial"/>
        </w:rPr>
        <w:t>N</w:t>
      </w:r>
      <w:r w:rsidR="003B1E57" w:rsidRPr="007D430C">
        <w:rPr>
          <w:rFonts w:ascii="Arial" w:hAnsi="Arial" w:cs="Arial"/>
        </w:rPr>
        <w:t>’) present their Report1 together with the financial statements of</w:t>
      </w:r>
      <w:r w:rsidRPr="007D430C">
        <w:rPr>
          <w:rFonts w:ascii="Arial" w:hAnsi="Arial" w:cs="Arial"/>
        </w:rPr>
        <w:t xml:space="preserve"> the consolidated entity, being</w:t>
      </w:r>
      <w:r w:rsidR="003B1E57" w:rsidRPr="007D430C">
        <w:rPr>
          <w:rFonts w:ascii="Arial" w:hAnsi="Arial" w:cs="Arial"/>
        </w:rPr>
        <w:t xml:space="preserve"> </w:t>
      </w:r>
      <w:r w:rsidRPr="007D430C">
        <w:rPr>
          <w:rFonts w:ascii="Arial" w:hAnsi="Arial" w:cs="Arial"/>
        </w:rPr>
        <w:t>F.E.A.R CORPORATIO</w:t>
      </w:r>
      <w:r w:rsidR="00C10A1A" w:rsidRPr="007D430C">
        <w:rPr>
          <w:rFonts w:ascii="Arial" w:hAnsi="Arial" w:cs="Arial"/>
        </w:rPr>
        <w:t>N</w:t>
      </w:r>
      <w:r w:rsidRPr="007D430C">
        <w:rPr>
          <w:rFonts w:ascii="Arial" w:hAnsi="Arial" w:cs="Arial"/>
        </w:rPr>
        <w:t xml:space="preserve"> (‘the Company</w:t>
      </w:r>
      <w:r w:rsidR="003B1E57" w:rsidRPr="007D430C">
        <w:rPr>
          <w:rFonts w:ascii="Arial" w:hAnsi="Arial" w:cs="Arial"/>
        </w:rPr>
        <w:t>’) and its</w:t>
      </w:r>
      <w:r w:rsidRPr="007D430C">
        <w:rPr>
          <w:rFonts w:ascii="Arial" w:hAnsi="Arial" w:cs="Arial"/>
        </w:rPr>
        <w:t xml:space="preserve"> Controlled Entities (‘the Corporation</w:t>
      </w:r>
      <w:r w:rsidR="003B1E57" w:rsidRPr="007D430C">
        <w:rPr>
          <w:rFonts w:ascii="Arial" w:hAnsi="Arial" w:cs="Arial"/>
        </w:rPr>
        <w:t xml:space="preserve">’) for </w:t>
      </w:r>
      <w:r w:rsidRPr="007D430C">
        <w:rPr>
          <w:rFonts w:ascii="Arial" w:hAnsi="Arial" w:cs="Arial"/>
        </w:rPr>
        <w:t>the year ended 14</w:t>
      </w:r>
      <w:r w:rsidR="003B1E57" w:rsidRPr="007D430C">
        <w:rPr>
          <w:rFonts w:ascii="Arial" w:hAnsi="Arial" w:cs="Arial"/>
        </w:rPr>
        <w:t xml:space="preserve"> </w:t>
      </w:r>
      <w:r w:rsidRPr="007D430C">
        <w:rPr>
          <w:rFonts w:ascii="Arial" w:hAnsi="Arial" w:cs="Arial"/>
        </w:rPr>
        <w:t>November</w:t>
      </w:r>
      <w:r w:rsidR="003B1E57" w:rsidRPr="007D430C">
        <w:rPr>
          <w:rFonts w:ascii="Arial" w:hAnsi="Arial" w:cs="Arial"/>
        </w:rPr>
        <w:t xml:space="preserve"> 2016.</w:t>
      </w:r>
    </w:p>
    <w:p w:rsidR="003B1E57" w:rsidRDefault="003B1E57" w:rsidP="007962DD">
      <w:pPr>
        <w:pStyle w:val="Heading2"/>
      </w:pPr>
      <w:bookmarkStart w:id="2" w:name="_Toc467594169"/>
      <w:r>
        <w:t>Directors’ details</w:t>
      </w:r>
      <w:bookmarkEnd w:id="2"/>
    </w:p>
    <w:p w:rsidR="003B1E57" w:rsidRPr="007D430C" w:rsidRDefault="003B1E57" w:rsidP="003B1E57">
      <w:pPr>
        <w:rPr>
          <w:rFonts w:ascii="Arial" w:hAnsi="Arial" w:cs="Arial"/>
        </w:rPr>
      </w:pPr>
      <w:r w:rsidRPr="007D430C">
        <w:rPr>
          <w:rFonts w:ascii="Arial" w:hAnsi="Arial" w:cs="Arial"/>
        </w:rPr>
        <w:t>The foll</w:t>
      </w:r>
      <w:r w:rsidR="00656EE3" w:rsidRPr="007D430C">
        <w:rPr>
          <w:rFonts w:ascii="Arial" w:hAnsi="Arial" w:cs="Arial"/>
        </w:rPr>
        <w:t>owing persons were directors of</w:t>
      </w:r>
      <w:r w:rsidRPr="007D430C">
        <w:rPr>
          <w:rFonts w:ascii="Arial" w:hAnsi="Arial" w:cs="Arial"/>
        </w:rPr>
        <w:t xml:space="preserve"> </w:t>
      </w:r>
      <w:r w:rsidR="00C10A1A" w:rsidRPr="007D430C">
        <w:rPr>
          <w:rFonts w:ascii="Arial" w:hAnsi="Arial" w:cs="Arial"/>
        </w:rPr>
        <w:t>F.E.A.R CORPORATION</w:t>
      </w:r>
      <w:r w:rsidRPr="007D430C">
        <w:rPr>
          <w:rFonts w:ascii="Arial" w:hAnsi="Arial" w:cs="Arial"/>
        </w:rPr>
        <w:t xml:space="preserve"> during or since the end of the financial year:</w:t>
      </w:r>
    </w:p>
    <w:p w:rsidR="00656EE3" w:rsidRDefault="00656EE3" w:rsidP="007962DD">
      <w:pPr>
        <w:pStyle w:val="Heading4"/>
      </w:pPr>
      <w:r>
        <w:t>Itai Bryan Nyamawuya</w:t>
      </w:r>
    </w:p>
    <w:p w:rsidR="007962DD" w:rsidRPr="007D430C" w:rsidRDefault="00656EE3" w:rsidP="00656EE3">
      <w:pPr>
        <w:rPr>
          <w:rFonts w:ascii="Arial" w:hAnsi="Arial" w:cs="Arial"/>
        </w:rPr>
      </w:pPr>
      <w:r w:rsidRPr="007D430C">
        <w:rPr>
          <w:rFonts w:ascii="Arial" w:hAnsi="Arial" w:cs="Arial"/>
        </w:rPr>
        <w:t>B. Tech (Hons) Agricultural Engineering</w:t>
      </w:r>
    </w:p>
    <w:p w:rsidR="003B1E57" w:rsidRPr="007D430C" w:rsidRDefault="003B1E57" w:rsidP="00EF6C3C">
      <w:pPr>
        <w:rPr>
          <w:rFonts w:ascii="Arial" w:hAnsi="Arial" w:cs="Arial"/>
        </w:rPr>
      </w:pPr>
      <w:r w:rsidRPr="007D430C">
        <w:rPr>
          <w:rFonts w:ascii="Arial" w:hAnsi="Arial" w:cs="Arial"/>
        </w:rPr>
        <w:t xml:space="preserve">Managing Director </w:t>
      </w:r>
      <w:r w:rsidRPr="007D430C">
        <w:rPr>
          <w:rFonts w:ascii="Arial" w:hAnsi="Arial" w:cs="Arial"/>
        </w:rPr>
        <w:br/>
      </w:r>
      <w:proofErr w:type="spellStart"/>
      <w:r w:rsidRPr="007D430C">
        <w:rPr>
          <w:rFonts w:ascii="Arial" w:hAnsi="Arial" w:cs="Arial"/>
        </w:rPr>
        <w:t>Director</w:t>
      </w:r>
      <w:proofErr w:type="spellEnd"/>
      <w:r w:rsidRPr="007D430C">
        <w:rPr>
          <w:rFonts w:ascii="Arial" w:hAnsi="Arial" w:cs="Arial"/>
        </w:rPr>
        <w:t xml:space="preserve"> since </w:t>
      </w:r>
      <w:r w:rsidR="00656EE3" w:rsidRPr="007D430C">
        <w:rPr>
          <w:rFonts w:ascii="Arial" w:hAnsi="Arial" w:cs="Arial"/>
        </w:rPr>
        <w:t xml:space="preserve">14 November </w:t>
      </w:r>
      <w:r w:rsidRPr="007D430C">
        <w:rPr>
          <w:rFonts w:ascii="Arial" w:hAnsi="Arial" w:cs="Arial"/>
        </w:rPr>
        <w:t>20</w:t>
      </w:r>
      <w:r w:rsidR="00656EE3" w:rsidRPr="007D430C">
        <w:rPr>
          <w:rFonts w:ascii="Arial" w:hAnsi="Arial" w:cs="Arial"/>
        </w:rPr>
        <w:t>15</w:t>
      </w:r>
    </w:p>
    <w:p w:rsidR="003B1E57" w:rsidRPr="007D430C" w:rsidRDefault="00856DE3" w:rsidP="003B1E57">
      <w:pPr>
        <w:rPr>
          <w:rFonts w:ascii="Arial" w:hAnsi="Arial" w:cs="Arial"/>
        </w:rPr>
      </w:pPr>
      <w:r w:rsidRPr="007D430C">
        <w:rPr>
          <w:rFonts w:ascii="Arial" w:hAnsi="Arial" w:cs="Arial"/>
        </w:rPr>
        <w:t>Mr.</w:t>
      </w:r>
      <w:r w:rsidR="00656EE3" w:rsidRPr="007D430C">
        <w:rPr>
          <w:rFonts w:ascii="Arial" w:hAnsi="Arial" w:cs="Arial"/>
        </w:rPr>
        <w:t xml:space="preserve"> Nyamawuya</w:t>
      </w:r>
      <w:r w:rsidR="003B1E57" w:rsidRPr="007D430C">
        <w:rPr>
          <w:rFonts w:ascii="Arial" w:hAnsi="Arial" w:cs="Arial"/>
        </w:rPr>
        <w:t xml:space="preserve"> has substantial knowledge of manufacturing processes and retail through executive roles in </w:t>
      </w:r>
      <w:r w:rsidR="00656EE3" w:rsidRPr="007D430C">
        <w:rPr>
          <w:rFonts w:ascii="Arial" w:hAnsi="Arial" w:cs="Arial"/>
        </w:rPr>
        <w:t>the steel, agriculture and media industry</w:t>
      </w:r>
      <w:r w:rsidR="003B1E57" w:rsidRPr="007D430C">
        <w:rPr>
          <w:rFonts w:ascii="Arial" w:hAnsi="Arial" w:cs="Arial"/>
        </w:rPr>
        <w:t xml:space="preserve"> where he has been responsible for implementing best practice systems across a range of industries.</w:t>
      </w:r>
    </w:p>
    <w:p w:rsidR="003B1E57" w:rsidRPr="007D430C" w:rsidRDefault="003B1E57" w:rsidP="003B1E57">
      <w:pPr>
        <w:rPr>
          <w:rFonts w:ascii="Arial" w:hAnsi="Arial" w:cs="Arial"/>
        </w:rPr>
      </w:pPr>
      <w:r w:rsidRPr="007D430C">
        <w:rPr>
          <w:rFonts w:ascii="Arial" w:hAnsi="Arial" w:cs="Arial"/>
        </w:rPr>
        <w:t>Other current Directorships:</w:t>
      </w:r>
      <w:r w:rsidR="00656EE3" w:rsidRPr="007D430C">
        <w:rPr>
          <w:rFonts w:ascii="Arial" w:hAnsi="Arial" w:cs="Arial"/>
        </w:rPr>
        <w:t xml:space="preserve"> </w:t>
      </w:r>
      <w:r w:rsidRPr="007D430C">
        <w:rPr>
          <w:rFonts w:ascii="Arial" w:hAnsi="Arial" w:cs="Arial"/>
        </w:rPr>
        <w:t>None</w:t>
      </w:r>
      <w:r w:rsidR="00656EE3" w:rsidRPr="007D430C">
        <w:rPr>
          <w:rFonts w:ascii="Arial" w:hAnsi="Arial" w:cs="Arial"/>
        </w:rPr>
        <w:br/>
        <w:t>P</w:t>
      </w:r>
      <w:r w:rsidRPr="007D430C">
        <w:rPr>
          <w:rFonts w:ascii="Arial" w:hAnsi="Arial" w:cs="Arial"/>
        </w:rPr>
        <w:t>revious Directorships (last 3 years):</w:t>
      </w:r>
      <w:r w:rsidR="00656EE3" w:rsidRPr="007D430C">
        <w:rPr>
          <w:rFonts w:ascii="Arial" w:hAnsi="Arial" w:cs="Arial"/>
        </w:rPr>
        <w:t xml:space="preserve"> None</w:t>
      </w:r>
      <w:r w:rsidRPr="007D430C">
        <w:rPr>
          <w:rFonts w:ascii="Arial" w:hAnsi="Arial" w:cs="Arial"/>
        </w:rPr>
        <w:br/>
        <w:t>Interests in shares: 403,565 shares</w:t>
      </w:r>
      <w:r w:rsidRPr="007D430C">
        <w:rPr>
          <w:rFonts w:ascii="Arial" w:hAnsi="Arial" w:cs="Arial"/>
        </w:rPr>
        <w:br/>
        <w:t>Interest in options: None</w:t>
      </w:r>
    </w:p>
    <w:p w:rsidR="00656EE3" w:rsidRDefault="00856DE3" w:rsidP="007962DD">
      <w:pPr>
        <w:pStyle w:val="Heading4"/>
      </w:pPr>
      <w:r>
        <w:t>Mr. Ahmed Shafiq</w:t>
      </w:r>
    </w:p>
    <w:p w:rsidR="003B1E57" w:rsidRPr="007D430C" w:rsidRDefault="003B1E57" w:rsidP="00656EE3">
      <w:pPr>
        <w:rPr>
          <w:rFonts w:ascii="Arial" w:hAnsi="Arial" w:cs="Arial"/>
        </w:rPr>
      </w:pPr>
      <w:r w:rsidRPr="007D430C">
        <w:rPr>
          <w:rFonts w:ascii="Arial" w:hAnsi="Arial" w:cs="Arial"/>
        </w:rPr>
        <w:t>CA, MBA</w:t>
      </w:r>
    </w:p>
    <w:p w:rsidR="003B1E57" w:rsidRPr="007D430C" w:rsidRDefault="003B1E57" w:rsidP="003B1E57">
      <w:pPr>
        <w:rPr>
          <w:rFonts w:ascii="Arial" w:hAnsi="Arial" w:cs="Arial"/>
        </w:rPr>
      </w:pPr>
      <w:r w:rsidRPr="007D430C">
        <w:rPr>
          <w:rFonts w:ascii="Arial" w:hAnsi="Arial" w:cs="Arial"/>
        </w:rPr>
        <w:t>Independent Non-Executive Director</w:t>
      </w:r>
      <w:r w:rsidRPr="007D430C">
        <w:rPr>
          <w:rFonts w:ascii="Arial" w:hAnsi="Arial" w:cs="Arial"/>
        </w:rPr>
        <w:br/>
        <w:t>Audit and Risk Committee Chair and Member of the Nomination and Remuneration Committee</w:t>
      </w:r>
      <w:r w:rsidRPr="007D430C">
        <w:rPr>
          <w:rFonts w:ascii="Arial" w:hAnsi="Arial" w:cs="Arial"/>
        </w:rPr>
        <w:br/>
        <w:t>Director since 20</w:t>
      </w:r>
      <w:r w:rsidR="00656EE3" w:rsidRPr="007D430C">
        <w:rPr>
          <w:rFonts w:ascii="Arial" w:hAnsi="Arial" w:cs="Arial"/>
        </w:rPr>
        <w:t>13</w:t>
      </w:r>
    </w:p>
    <w:p w:rsidR="003B1E57" w:rsidRPr="007D430C" w:rsidRDefault="00656EE3" w:rsidP="003B1E57">
      <w:pPr>
        <w:rPr>
          <w:rFonts w:ascii="Arial" w:hAnsi="Arial" w:cs="Arial"/>
        </w:rPr>
      </w:pPr>
      <w:r w:rsidRPr="007D430C">
        <w:rPr>
          <w:rFonts w:ascii="Arial" w:hAnsi="Arial" w:cs="Arial"/>
        </w:rPr>
        <w:t>Ahmed</w:t>
      </w:r>
      <w:r w:rsidR="003B1E57" w:rsidRPr="007D430C">
        <w:rPr>
          <w:rFonts w:ascii="Arial" w:hAnsi="Arial" w:cs="Arial"/>
        </w:rPr>
        <w:t xml:space="preserve"> is a Chartered Accountant and brings years </w:t>
      </w:r>
      <w:r w:rsidRPr="007D430C">
        <w:rPr>
          <w:rFonts w:ascii="Arial" w:hAnsi="Arial" w:cs="Arial"/>
        </w:rPr>
        <w:t xml:space="preserve">of </w:t>
      </w:r>
      <w:r w:rsidR="003B1E57" w:rsidRPr="007D430C">
        <w:rPr>
          <w:rFonts w:ascii="Arial" w:hAnsi="Arial" w:cs="Arial"/>
        </w:rPr>
        <w:t xml:space="preserve">broad financial and commercial experience, </w:t>
      </w:r>
      <w:r w:rsidRPr="007D430C">
        <w:rPr>
          <w:rFonts w:ascii="Arial" w:hAnsi="Arial" w:cs="Arial"/>
        </w:rPr>
        <w:t>both local and international to F.E.A.R Corporation</w:t>
      </w:r>
      <w:r w:rsidR="003B1E57" w:rsidRPr="007D430C">
        <w:rPr>
          <w:rFonts w:ascii="Arial" w:hAnsi="Arial" w:cs="Arial"/>
        </w:rPr>
        <w:t>.</w:t>
      </w:r>
    </w:p>
    <w:p w:rsidR="003B1E57" w:rsidRPr="007D430C" w:rsidRDefault="003B1E57" w:rsidP="003B1E57">
      <w:pPr>
        <w:rPr>
          <w:rFonts w:ascii="Arial" w:hAnsi="Arial" w:cs="Arial"/>
        </w:rPr>
      </w:pPr>
      <w:r w:rsidRPr="007D430C">
        <w:rPr>
          <w:rFonts w:ascii="Arial" w:hAnsi="Arial" w:cs="Arial"/>
        </w:rPr>
        <w:t xml:space="preserve">Other current Directorships: </w:t>
      </w:r>
      <w:r w:rsidR="00BD5547" w:rsidRPr="007D430C">
        <w:rPr>
          <w:rFonts w:ascii="Arial" w:hAnsi="Arial" w:cs="Arial"/>
        </w:rPr>
        <w:t>Voluntary Mentorship Program</w:t>
      </w:r>
      <w:r w:rsidRPr="007D430C">
        <w:rPr>
          <w:rFonts w:ascii="Arial" w:hAnsi="Arial" w:cs="Arial"/>
        </w:rPr>
        <w:t xml:space="preserve"> (Appointed 15 July 2013</w:t>
      </w:r>
      <w:proofErr w:type="gramStart"/>
      <w:r w:rsidRPr="007D430C">
        <w:rPr>
          <w:rFonts w:ascii="Arial" w:hAnsi="Arial" w:cs="Arial"/>
        </w:rPr>
        <w:t>)</w:t>
      </w:r>
      <w:proofErr w:type="gramEnd"/>
      <w:r w:rsidR="00BD5547" w:rsidRPr="007D430C">
        <w:rPr>
          <w:rFonts w:ascii="Arial" w:hAnsi="Arial" w:cs="Arial"/>
        </w:rPr>
        <w:br/>
      </w:r>
      <w:r w:rsidRPr="007D430C">
        <w:rPr>
          <w:rFonts w:ascii="Arial" w:hAnsi="Arial" w:cs="Arial"/>
        </w:rPr>
        <w:t>Previous</w:t>
      </w:r>
      <w:r w:rsidR="00BD5547" w:rsidRPr="007D430C">
        <w:rPr>
          <w:rFonts w:ascii="Arial" w:hAnsi="Arial" w:cs="Arial"/>
        </w:rPr>
        <w:t xml:space="preserve"> Directorships (last 3 years): Sapphire</w:t>
      </w:r>
      <w:r w:rsidRPr="007D430C">
        <w:rPr>
          <w:rFonts w:ascii="Arial" w:hAnsi="Arial" w:cs="Arial"/>
        </w:rPr>
        <w:t xml:space="preserve"> Holdings Limited (Appointed 1 March 2011; Resigned 17 September 2014)</w:t>
      </w:r>
    </w:p>
    <w:p w:rsidR="003B1E57" w:rsidRPr="007D430C" w:rsidRDefault="003B1E57" w:rsidP="003B1E57">
      <w:pPr>
        <w:rPr>
          <w:rFonts w:ascii="Arial" w:hAnsi="Arial" w:cs="Arial"/>
        </w:rPr>
      </w:pPr>
      <w:r w:rsidRPr="007D430C">
        <w:rPr>
          <w:rFonts w:ascii="Arial" w:hAnsi="Arial" w:cs="Arial"/>
        </w:rPr>
        <w:t>Interests in shares: 21,203 shares</w:t>
      </w:r>
      <w:r w:rsidRPr="007D430C">
        <w:rPr>
          <w:rFonts w:ascii="Arial" w:hAnsi="Arial" w:cs="Arial"/>
        </w:rPr>
        <w:br/>
        <w:t>Interest in options: None</w:t>
      </w:r>
    </w:p>
    <w:p w:rsidR="00363A17" w:rsidRDefault="00363A17" w:rsidP="007962DD">
      <w:pPr>
        <w:pStyle w:val="Heading4"/>
      </w:pPr>
      <w:r>
        <w:t>Company Secretary</w:t>
      </w:r>
    </w:p>
    <w:p w:rsidR="00363A17" w:rsidRPr="007D430C" w:rsidRDefault="00BD5547" w:rsidP="00363A17">
      <w:pPr>
        <w:rPr>
          <w:rFonts w:ascii="Arial" w:hAnsi="Arial" w:cs="Arial"/>
        </w:rPr>
      </w:pPr>
      <w:r w:rsidRPr="007D430C">
        <w:rPr>
          <w:rFonts w:ascii="Arial" w:hAnsi="Arial" w:cs="Arial"/>
        </w:rPr>
        <w:t>Mike</w:t>
      </w:r>
      <w:r w:rsidR="00363A17" w:rsidRPr="007D430C">
        <w:rPr>
          <w:rFonts w:ascii="Arial" w:hAnsi="Arial" w:cs="Arial"/>
        </w:rPr>
        <w:t xml:space="preserve"> Morgan is a Chartered Accountant and the Group Chief Financial Officer. </w:t>
      </w:r>
      <w:r w:rsidRPr="007D430C">
        <w:rPr>
          <w:rFonts w:ascii="Arial" w:hAnsi="Arial" w:cs="Arial"/>
        </w:rPr>
        <w:t>Mike</w:t>
      </w:r>
      <w:r w:rsidR="00363A17" w:rsidRPr="007D430C">
        <w:rPr>
          <w:rFonts w:ascii="Arial" w:hAnsi="Arial" w:cs="Arial"/>
        </w:rPr>
        <w:t xml:space="preserve"> has held senior positions with a number of professional accounting firms</w:t>
      </w:r>
      <w:r w:rsidRPr="007D430C">
        <w:rPr>
          <w:rFonts w:ascii="Arial" w:hAnsi="Arial" w:cs="Arial"/>
        </w:rPr>
        <w:t xml:space="preserve"> and has a Degree in Commerce. Mi</w:t>
      </w:r>
      <w:r w:rsidR="00363A17" w:rsidRPr="007D430C">
        <w:rPr>
          <w:rFonts w:ascii="Arial" w:hAnsi="Arial" w:cs="Arial"/>
        </w:rPr>
        <w:t>k</w:t>
      </w:r>
      <w:r w:rsidRPr="007D430C">
        <w:rPr>
          <w:rFonts w:ascii="Arial" w:hAnsi="Arial" w:cs="Arial"/>
        </w:rPr>
        <w:t>e</w:t>
      </w:r>
      <w:r w:rsidR="00363A17" w:rsidRPr="007D430C">
        <w:rPr>
          <w:rFonts w:ascii="Arial" w:hAnsi="Arial" w:cs="Arial"/>
        </w:rPr>
        <w:t xml:space="preserve"> ha</w:t>
      </w:r>
      <w:r w:rsidRPr="007D430C">
        <w:rPr>
          <w:rFonts w:ascii="Arial" w:hAnsi="Arial" w:cs="Arial"/>
        </w:rPr>
        <w:t>s been the Company Secretary of</w:t>
      </w:r>
      <w:r w:rsidR="00363A17" w:rsidRPr="007D430C">
        <w:rPr>
          <w:rFonts w:ascii="Arial" w:hAnsi="Arial" w:cs="Arial"/>
        </w:rPr>
        <w:t xml:space="preserve"> </w:t>
      </w:r>
      <w:r w:rsidR="00C10A1A" w:rsidRPr="007D430C">
        <w:rPr>
          <w:rFonts w:ascii="Arial" w:hAnsi="Arial" w:cs="Arial"/>
        </w:rPr>
        <w:t>F.E.A.</w:t>
      </w:r>
      <w:r w:rsidRPr="007D430C">
        <w:rPr>
          <w:rFonts w:ascii="Arial" w:hAnsi="Arial" w:cs="Arial"/>
        </w:rPr>
        <w:t>R Corporation for six</w:t>
      </w:r>
      <w:r w:rsidR="00363A17" w:rsidRPr="007D430C">
        <w:rPr>
          <w:rFonts w:ascii="Arial" w:hAnsi="Arial" w:cs="Arial"/>
        </w:rPr>
        <w:t xml:space="preserve"> (</w:t>
      </w:r>
      <w:r w:rsidRPr="007D430C">
        <w:rPr>
          <w:rFonts w:ascii="Arial" w:hAnsi="Arial" w:cs="Arial"/>
        </w:rPr>
        <w:t>6</w:t>
      </w:r>
      <w:r w:rsidR="00363A17" w:rsidRPr="007D430C">
        <w:rPr>
          <w:rFonts w:ascii="Arial" w:hAnsi="Arial" w:cs="Arial"/>
        </w:rPr>
        <w:t xml:space="preserve">) </w:t>
      </w:r>
      <w:r w:rsidRPr="007D430C">
        <w:rPr>
          <w:rFonts w:ascii="Arial" w:hAnsi="Arial" w:cs="Arial"/>
        </w:rPr>
        <w:t>month</w:t>
      </w:r>
      <w:r w:rsidR="00363A17" w:rsidRPr="007D430C">
        <w:rPr>
          <w:rFonts w:ascii="Arial" w:hAnsi="Arial" w:cs="Arial"/>
        </w:rPr>
        <w:t>s.</w:t>
      </w:r>
    </w:p>
    <w:p w:rsidR="00363A17" w:rsidRDefault="00363A17" w:rsidP="007962DD">
      <w:pPr>
        <w:pStyle w:val="Heading2"/>
      </w:pPr>
      <w:bookmarkStart w:id="3" w:name="_Toc467594170"/>
      <w:r>
        <w:lastRenderedPageBreak/>
        <w:t>Principal activities</w:t>
      </w:r>
      <w:bookmarkEnd w:id="3"/>
    </w:p>
    <w:p w:rsidR="00363A17" w:rsidRPr="007D430C" w:rsidRDefault="00363A17" w:rsidP="00363A17">
      <w:pPr>
        <w:rPr>
          <w:rFonts w:ascii="Arial" w:hAnsi="Arial" w:cs="Arial"/>
        </w:rPr>
      </w:pPr>
      <w:r w:rsidRPr="007D430C">
        <w:rPr>
          <w:rFonts w:ascii="Arial" w:hAnsi="Arial" w:cs="Arial"/>
        </w:rPr>
        <w:t>During the year, the principal act</w:t>
      </w:r>
      <w:r w:rsidR="004D3B7B" w:rsidRPr="007D430C">
        <w:rPr>
          <w:rFonts w:ascii="Arial" w:hAnsi="Arial" w:cs="Arial"/>
        </w:rPr>
        <w:t>ivities of entities within the Corporation</w:t>
      </w:r>
      <w:r w:rsidRPr="007D430C">
        <w:rPr>
          <w:rFonts w:ascii="Arial" w:hAnsi="Arial" w:cs="Arial"/>
        </w:rPr>
        <w:t xml:space="preserve"> were:</w:t>
      </w:r>
    </w:p>
    <w:p w:rsidR="00363A17" w:rsidRPr="007D430C" w:rsidRDefault="00363A17" w:rsidP="004D3B7B">
      <w:pPr>
        <w:pStyle w:val="ListParagraph"/>
        <w:numPr>
          <w:ilvl w:val="0"/>
          <w:numId w:val="11"/>
        </w:numPr>
        <w:rPr>
          <w:rFonts w:ascii="Arial" w:hAnsi="Arial" w:cs="Arial"/>
        </w:rPr>
      </w:pPr>
      <w:r w:rsidRPr="007D430C">
        <w:rPr>
          <w:rFonts w:ascii="Arial" w:hAnsi="Arial" w:cs="Arial"/>
        </w:rPr>
        <w:t>sale, customisation and integration of IT and telecommunications systems</w:t>
      </w:r>
    </w:p>
    <w:p w:rsidR="00363A17" w:rsidRPr="007D430C" w:rsidRDefault="00363A17" w:rsidP="004D3B7B">
      <w:pPr>
        <w:pStyle w:val="ListParagraph"/>
        <w:numPr>
          <w:ilvl w:val="0"/>
          <w:numId w:val="11"/>
        </w:numPr>
        <w:rPr>
          <w:rFonts w:ascii="Arial" w:hAnsi="Arial" w:cs="Arial"/>
        </w:rPr>
      </w:pPr>
      <w:r w:rsidRPr="007D430C">
        <w:rPr>
          <w:rFonts w:ascii="Arial" w:hAnsi="Arial" w:cs="Arial"/>
        </w:rPr>
        <w:t>maintenance of IT and telecommunications syste</w:t>
      </w:r>
      <w:r w:rsidR="004D3B7B" w:rsidRPr="007D430C">
        <w:rPr>
          <w:rFonts w:ascii="Arial" w:hAnsi="Arial" w:cs="Arial"/>
        </w:rPr>
        <w:t>ms</w:t>
      </w:r>
    </w:p>
    <w:p w:rsidR="00363A17" w:rsidRPr="007D430C" w:rsidRDefault="00363A17" w:rsidP="004D3B7B">
      <w:pPr>
        <w:pStyle w:val="ListParagraph"/>
        <w:numPr>
          <w:ilvl w:val="0"/>
          <w:numId w:val="11"/>
        </w:numPr>
        <w:rPr>
          <w:rFonts w:ascii="Arial" w:hAnsi="Arial" w:cs="Arial"/>
        </w:rPr>
      </w:pPr>
      <w:r w:rsidRPr="007D430C">
        <w:rPr>
          <w:rFonts w:ascii="Arial" w:hAnsi="Arial" w:cs="Arial"/>
        </w:rPr>
        <w:t xml:space="preserve">internet based selling of </w:t>
      </w:r>
      <w:r w:rsidR="004D3B7B" w:rsidRPr="007D430C">
        <w:rPr>
          <w:rFonts w:ascii="Arial" w:hAnsi="Arial" w:cs="Arial"/>
        </w:rPr>
        <w:t xml:space="preserve">books, </w:t>
      </w:r>
      <w:r w:rsidRPr="007D430C">
        <w:rPr>
          <w:rFonts w:ascii="Arial" w:hAnsi="Arial" w:cs="Arial"/>
        </w:rPr>
        <w:t>hardware and software products</w:t>
      </w:r>
    </w:p>
    <w:p w:rsidR="004D3B7B" w:rsidRPr="007D430C" w:rsidRDefault="004D3B7B" w:rsidP="004D3B7B">
      <w:pPr>
        <w:pStyle w:val="ListParagraph"/>
        <w:numPr>
          <w:ilvl w:val="0"/>
          <w:numId w:val="11"/>
        </w:numPr>
        <w:rPr>
          <w:rFonts w:ascii="Arial" w:hAnsi="Arial" w:cs="Arial"/>
        </w:rPr>
      </w:pPr>
      <w:r w:rsidRPr="007D430C">
        <w:rPr>
          <w:rFonts w:ascii="Arial" w:hAnsi="Arial" w:cs="Arial"/>
        </w:rPr>
        <w:t>music recording and publishing</w:t>
      </w:r>
    </w:p>
    <w:p w:rsidR="004D3B7B" w:rsidRPr="007D430C" w:rsidRDefault="004D3B7B" w:rsidP="004D3B7B">
      <w:pPr>
        <w:pStyle w:val="ListParagraph"/>
        <w:numPr>
          <w:ilvl w:val="0"/>
          <w:numId w:val="11"/>
        </w:numPr>
        <w:rPr>
          <w:rFonts w:ascii="Arial" w:hAnsi="Arial" w:cs="Arial"/>
        </w:rPr>
      </w:pPr>
      <w:r w:rsidRPr="007D430C">
        <w:rPr>
          <w:rFonts w:ascii="Arial" w:hAnsi="Arial" w:cs="Arial"/>
        </w:rPr>
        <w:t>design and manufacture of steel-based farming equipment; and</w:t>
      </w:r>
    </w:p>
    <w:p w:rsidR="004D3B7B" w:rsidRPr="007D430C" w:rsidRDefault="00856DE3" w:rsidP="004D3B7B">
      <w:pPr>
        <w:pStyle w:val="ListParagraph"/>
        <w:numPr>
          <w:ilvl w:val="0"/>
          <w:numId w:val="11"/>
        </w:numPr>
        <w:rPr>
          <w:rFonts w:ascii="Arial" w:hAnsi="Arial" w:cs="Arial"/>
        </w:rPr>
      </w:pPr>
      <w:r w:rsidRPr="007D430C">
        <w:rPr>
          <w:rFonts w:ascii="Arial" w:hAnsi="Arial" w:cs="Arial"/>
        </w:rPr>
        <w:t>Social</w:t>
      </w:r>
      <w:r w:rsidR="004D3B7B" w:rsidRPr="007D430C">
        <w:rPr>
          <w:rFonts w:ascii="Arial" w:hAnsi="Arial" w:cs="Arial"/>
        </w:rPr>
        <w:t xml:space="preserve"> media marketing services.</w:t>
      </w:r>
    </w:p>
    <w:p w:rsidR="00363A17" w:rsidRPr="007D430C" w:rsidRDefault="00363A17" w:rsidP="00363A17">
      <w:pPr>
        <w:rPr>
          <w:rFonts w:ascii="Arial" w:hAnsi="Arial" w:cs="Arial"/>
        </w:rPr>
      </w:pPr>
      <w:r w:rsidRPr="007D430C">
        <w:rPr>
          <w:rFonts w:ascii="Arial" w:hAnsi="Arial" w:cs="Arial"/>
        </w:rPr>
        <w:t>There have been no significant changes in the nature of these activities during the year.</w:t>
      </w:r>
    </w:p>
    <w:p w:rsidR="00363A17" w:rsidRDefault="00363A17" w:rsidP="007962DD">
      <w:pPr>
        <w:pStyle w:val="Heading2"/>
      </w:pPr>
      <w:bookmarkStart w:id="4" w:name="_Toc467594171"/>
      <w:r>
        <w:t>Review of operations and financial results</w:t>
      </w:r>
      <w:bookmarkEnd w:id="4"/>
    </w:p>
    <w:p w:rsidR="00363A17" w:rsidRPr="007D430C" w:rsidRDefault="00363A17" w:rsidP="00363A17">
      <w:pPr>
        <w:rPr>
          <w:rFonts w:ascii="Arial" w:hAnsi="Arial" w:cs="Arial"/>
        </w:rPr>
      </w:pPr>
      <w:r w:rsidRPr="007D430C">
        <w:rPr>
          <w:rFonts w:ascii="Arial" w:hAnsi="Arial" w:cs="Arial"/>
        </w:rPr>
        <w:t xml:space="preserve">The </w:t>
      </w:r>
      <w:r w:rsidR="004D3B7B" w:rsidRPr="007D430C">
        <w:rPr>
          <w:rFonts w:ascii="Arial" w:hAnsi="Arial" w:cs="Arial"/>
        </w:rPr>
        <w:t>Corporation</w:t>
      </w:r>
      <w:r w:rsidRPr="007D430C">
        <w:rPr>
          <w:rFonts w:ascii="Arial" w:hAnsi="Arial" w:cs="Arial"/>
        </w:rPr>
        <w:t xml:space="preserve"> is</w:t>
      </w:r>
      <w:r w:rsidR="004D3B7B" w:rsidRPr="007D430C">
        <w:rPr>
          <w:rFonts w:ascii="Arial" w:hAnsi="Arial" w:cs="Arial"/>
        </w:rPr>
        <w:t xml:space="preserve"> becoming</w:t>
      </w:r>
      <w:r w:rsidRPr="007D430C">
        <w:rPr>
          <w:rFonts w:ascii="Arial" w:hAnsi="Arial" w:cs="Arial"/>
        </w:rPr>
        <w:t xml:space="preserve"> a key participant in the IT and telecommunications services market, holding a </w:t>
      </w:r>
      <w:r w:rsidR="00A96431" w:rsidRPr="007D430C">
        <w:rPr>
          <w:rFonts w:ascii="Arial" w:hAnsi="Arial" w:cs="Arial"/>
        </w:rPr>
        <w:t>market share of approximately 3</w:t>
      </w:r>
      <w:r w:rsidRPr="007D430C">
        <w:rPr>
          <w:rFonts w:ascii="Arial" w:hAnsi="Arial" w:cs="Arial"/>
        </w:rPr>
        <w:t xml:space="preserve">%. While the </w:t>
      </w:r>
      <w:r w:rsidR="00A96431" w:rsidRPr="007D430C">
        <w:rPr>
          <w:rFonts w:ascii="Arial" w:hAnsi="Arial" w:cs="Arial"/>
        </w:rPr>
        <w:t xml:space="preserve">Corporation’s Services and Retail segments have a diverse customer base, </w:t>
      </w:r>
      <w:r w:rsidRPr="007D430C">
        <w:rPr>
          <w:rFonts w:ascii="Arial" w:hAnsi="Arial" w:cs="Arial"/>
        </w:rPr>
        <w:t>2</w:t>
      </w:r>
      <w:r w:rsidR="00A96431" w:rsidRPr="007D430C">
        <w:rPr>
          <w:rFonts w:ascii="Arial" w:hAnsi="Arial" w:cs="Arial"/>
        </w:rPr>
        <w:t>7</w:t>
      </w:r>
      <w:r w:rsidRPr="007D430C">
        <w:rPr>
          <w:rFonts w:ascii="Arial" w:hAnsi="Arial" w:cs="Arial"/>
        </w:rPr>
        <w:t>% of the Consulting segment’s revenues depende</w:t>
      </w:r>
      <w:r w:rsidR="00A96431" w:rsidRPr="007D430C">
        <w:rPr>
          <w:rFonts w:ascii="Arial" w:hAnsi="Arial" w:cs="Arial"/>
        </w:rPr>
        <w:t>d on a single customer (2015: 17</w:t>
      </w:r>
      <w:r w:rsidRPr="007D430C">
        <w:rPr>
          <w:rFonts w:ascii="Arial" w:hAnsi="Arial" w:cs="Arial"/>
        </w:rPr>
        <w:t>%).</w:t>
      </w:r>
    </w:p>
    <w:p w:rsidR="00363A17" w:rsidRPr="007D430C" w:rsidRDefault="00A96431" w:rsidP="00363A17">
      <w:pPr>
        <w:rPr>
          <w:rFonts w:ascii="Arial" w:hAnsi="Arial" w:cs="Arial"/>
        </w:rPr>
      </w:pPr>
      <w:r w:rsidRPr="007D430C">
        <w:rPr>
          <w:rFonts w:ascii="Arial" w:hAnsi="Arial" w:cs="Arial"/>
        </w:rPr>
        <w:t>In May</w:t>
      </w:r>
      <w:r w:rsidR="00363A17" w:rsidRPr="007D430C">
        <w:rPr>
          <w:rFonts w:ascii="Arial" w:hAnsi="Arial" w:cs="Arial"/>
        </w:rPr>
        <w:t xml:space="preserve"> 2016, the </w:t>
      </w:r>
      <w:r w:rsidRPr="007D430C">
        <w:rPr>
          <w:rFonts w:ascii="Arial" w:hAnsi="Arial" w:cs="Arial"/>
        </w:rPr>
        <w:t>Corporation</w:t>
      </w:r>
      <w:r w:rsidR="00363A17" w:rsidRPr="007D430C">
        <w:rPr>
          <w:rFonts w:ascii="Arial" w:hAnsi="Arial" w:cs="Arial"/>
        </w:rPr>
        <w:t xml:space="preserve"> announced that it had been the target of an unsolicited takeover offer. The Directors believed that this offer significantly undervalued the </w:t>
      </w:r>
      <w:r w:rsidRPr="007D430C">
        <w:rPr>
          <w:rFonts w:ascii="Arial" w:hAnsi="Arial" w:cs="Arial"/>
        </w:rPr>
        <w:t>Corporation</w:t>
      </w:r>
      <w:r w:rsidR="00363A17" w:rsidRPr="007D430C">
        <w:rPr>
          <w:rFonts w:ascii="Arial" w:hAnsi="Arial" w:cs="Arial"/>
        </w:rPr>
        <w:t>. The offer caused some disruption, diverting management time from</w:t>
      </w:r>
      <w:r w:rsidRPr="007D430C">
        <w:rPr>
          <w:rFonts w:ascii="Arial" w:hAnsi="Arial" w:cs="Arial"/>
        </w:rPr>
        <w:t xml:space="preserve"> daily operations, and the Corporation</w:t>
      </w:r>
      <w:r w:rsidR="00363A17" w:rsidRPr="007D430C">
        <w:rPr>
          <w:rFonts w:ascii="Arial" w:hAnsi="Arial" w:cs="Arial"/>
        </w:rPr>
        <w:t xml:space="preserve"> incurred on</w:t>
      </w:r>
      <w:r w:rsidRPr="007D430C">
        <w:rPr>
          <w:rFonts w:ascii="Arial" w:hAnsi="Arial" w:cs="Arial"/>
        </w:rPr>
        <w:t>e-off costs of approximately $500</w:t>
      </w:r>
      <w:r w:rsidR="00363A17" w:rsidRPr="007D430C">
        <w:rPr>
          <w:rFonts w:ascii="Arial" w:hAnsi="Arial" w:cs="Arial"/>
        </w:rPr>
        <w:t xml:space="preserve"> in relation to the offer. The offer has since been withdrawn.</w:t>
      </w:r>
    </w:p>
    <w:p w:rsidR="00363A17" w:rsidRPr="007D430C" w:rsidRDefault="00363A17" w:rsidP="00363A17">
      <w:pPr>
        <w:rPr>
          <w:rFonts w:ascii="Arial" w:hAnsi="Arial" w:cs="Arial"/>
        </w:rPr>
      </w:pPr>
      <w:r w:rsidRPr="007D430C">
        <w:rPr>
          <w:rFonts w:ascii="Arial" w:hAnsi="Arial" w:cs="Arial"/>
        </w:rPr>
        <w:t xml:space="preserve">As part of our cost reduction program, it was necessary to reduce our service staff numbers this year from </w:t>
      </w:r>
      <w:r w:rsidR="00A96431" w:rsidRPr="007D430C">
        <w:rPr>
          <w:rFonts w:ascii="Arial" w:hAnsi="Arial" w:cs="Arial"/>
        </w:rPr>
        <w:t>5</w:t>
      </w:r>
      <w:r w:rsidRPr="007D430C">
        <w:rPr>
          <w:rFonts w:ascii="Arial" w:hAnsi="Arial" w:cs="Arial"/>
        </w:rPr>
        <w:t xml:space="preserve"> to </w:t>
      </w:r>
      <w:r w:rsidR="00A96431" w:rsidRPr="007D430C">
        <w:rPr>
          <w:rFonts w:ascii="Arial" w:hAnsi="Arial" w:cs="Arial"/>
        </w:rPr>
        <w:t>3</w:t>
      </w:r>
      <w:r w:rsidRPr="007D430C">
        <w:rPr>
          <w:rFonts w:ascii="Arial" w:hAnsi="Arial" w:cs="Arial"/>
        </w:rPr>
        <w:t>. R</w:t>
      </w:r>
      <w:r w:rsidR="00A96431" w:rsidRPr="007D430C">
        <w:rPr>
          <w:rFonts w:ascii="Arial" w:hAnsi="Arial" w:cs="Arial"/>
        </w:rPr>
        <w:t>edundancy payments totalling $1,</w:t>
      </w:r>
      <w:r w:rsidRPr="007D430C">
        <w:rPr>
          <w:rFonts w:ascii="Arial" w:hAnsi="Arial" w:cs="Arial"/>
        </w:rPr>
        <w:t>8</w:t>
      </w:r>
      <w:r w:rsidR="00A96431" w:rsidRPr="007D430C">
        <w:rPr>
          <w:rFonts w:ascii="Arial" w:hAnsi="Arial" w:cs="Arial"/>
        </w:rPr>
        <w:t>00</w:t>
      </w:r>
      <w:r w:rsidRPr="007D430C">
        <w:rPr>
          <w:rFonts w:ascii="Arial" w:hAnsi="Arial" w:cs="Arial"/>
        </w:rPr>
        <w:t xml:space="preserve"> explain the higher employee benefit expenses this year.</w:t>
      </w:r>
    </w:p>
    <w:p w:rsidR="00363A17" w:rsidRPr="007D430C" w:rsidRDefault="00363A17" w:rsidP="00363A17">
      <w:pPr>
        <w:rPr>
          <w:rFonts w:ascii="Arial" w:hAnsi="Arial" w:cs="Arial"/>
        </w:rPr>
      </w:pPr>
      <w:r w:rsidRPr="007D430C">
        <w:rPr>
          <w:rFonts w:ascii="Arial" w:hAnsi="Arial" w:cs="Arial"/>
        </w:rPr>
        <w:t xml:space="preserve">The operating result of the </w:t>
      </w:r>
      <w:r w:rsidR="00A96431" w:rsidRPr="007D430C">
        <w:rPr>
          <w:rFonts w:ascii="Arial" w:hAnsi="Arial" w:cs="Arial"/>
        </w:rPr>
        <w:t>Corporation has increased to $15,400 (2015: $13,</w:t>
      </w:r>
      <w:r w:rsidRPr="007D430C">
        <w:rPr>
          <w:rFonts w:ascii="Arial" w:hAnsi="Arial" w:cs="Arial"/>
        </w:rPr>
        <w:t>2</w:t>
      </w:r>
      <w:r w:rsidR="00A96431" w:rsidRPr="007D430C">
        <w:rPr>
          <w:rFonts w:ascii="Arial" w:hAnsi="Arial" w:cs="Arial"/>
        </w:rPr>
        <w:t>00</w:t>
      </w:r>
      <w:r w:rsidRPr="007D430C">
        <w:rPr>
          <w:rFonts w:ascii="Arial" w:hAnsi="Arial" w:cs="Arial"/>
        </w:rPr>
        <w:t>); this is mainly due to the cost control measures implemented during the year which have allowed increased revenue with a lower proportionate cost base.</w:t>
      </w:r>
    </w:p>
    <w:p w:rsidR="00363A17" w:rsidRPr="007D430C" w:rsidRDefault="00363A17" w:rsidP="00363A17">
      <w:pPr>
        <w:rPr>
          <w:rFonts w:ascii="Arial" w:hAnsi="Arial" w:cs="Arial"/>
        </w:rPr>
      </w:pPr>
      <w:r w:rsidRPr="007D430C">
        <w:rPr>
          <w:rFonts w:ascii="Arial" w:hAnsi="Arial" w:cs="Arial"/>
        </w:rPr>
        <w:t>Revenue from Retail operations was up on last year (by 17%), which is very encouraging and higher than anticipated last year (our expectation was 12%). The key reason for this increase was the expansion of our distribution networks and upgrading of our online sales portal. Revenue growth in our Consulting and Service businesses was steady, which was in line with our expectations last year. This steady growth reflects the current global economic uncertainty and the cost reduction measures undertaken by businesses in the market place.</w:t>
      </w:r>
    </w:p>
    <w:p w:rsidR="00363A17" w:rsidRPr="007D430C" w:rsidRDefault="00363A17" w:rsidP="00363A17">
      <w:pPr>
        <w:rPr>
          <w:rFonts w:ascii="Arial" w:hAnsi="Arial" w:cs="Arial"/>
        </w:rPr>
      </w:pPr>
      <w:r w:rsidRPr="007D430C">
        <w:rPr>
          <w:rFonts w:ascii="Arial" w:hAnsi="Arial" w:cs="Arial"/>
        </w:rPr>
        <w:t xml:space="preserve">Earnings per share have increased during the year to $1.22 (2015: $1.11) </w:t>
      </w:r>
      <w:r w:rsidR="00A96431" w:rsidRPr="007D430C">
        <w:rPr>
          <w:rFonts w:ascii="Arial" w:hAnsi="Arial" w:cs="Arial"/>
        </w:rPr>
        <w:t>although neither</w:t>
      </w:r>
      <w:r w:rsidRPr="007D430C">
        <w:rPr>
          <w:rFonts w:ascii="Arial" w:hAnsi="Arial" w:cs="Arial"/>
        </w:rPr>
        <w:t xml:space="preserve"> interim </w:t>
      </w:r>
      <w:r w:rsidR="00A96431" w:rsidRPr="007D430C">
        <w:rPr>
          <w:rFonts w:ascii="Arial" w:hAnsi="Arial" w:cs="Arial"/>
        </w:rPr>
        <w:t>nor</w:t>
      </w:r>
      <w:r w:rsidRPr="007D430C">
        <w:rPr>
          <w:rFonts w:ascii="Arial" w:hAnsi="Arial" w:cs="Arial"/>
        </w:rPr>
        <w:t xml:space="preserve"> final dividend</w:t>
      </w:r>
      <w:r w:rsidR="00A96431" w:rsidRPr="007D430C">
        <w:rPr>
          <w:rFonts w:ascii="Arial" w:hAnsi="Arial" w:cs="Arial"/>
        </w:rPr>
        <w:t>s</w:t>
      </w:r>
      <w:r w:rsidRPr="007D430C">
        <w:rPr>
          <w:rFonts w:ascii="Arial" w:hAnsi="Arial" w:cs="Arial"/>
        </w:rPr>
        <w:t xml:space="preserve"> </w:t>
      </w:r>
      <w:r w:rsidR="00A96431" w:rsidRPr="007D430C">
        <w:rPr>
          <w:rFonts w:ascii="Arial" w:hAnsi="Arial" w:cs="Arial"/>
        </w:rPr>
        <w:t>were</w:t>
      </w:r>
      <w:r w:rsidRPr="007D430C">
        <w:rPr>
          <w:rFonts w:ascii="Arial" w:hAnsi="Arial" w:cs="Arial"/>
        </w:rPr>
        <w:t xml:space="preserve"> declared.</w:t>
      </w:r>
    </w:p>
    <w:p w:rsidR="003B1E57" w:rsidRPr="007D430C" w:rsidRDefault="00363A17" w:rsidP="00363A17">
      <w:pPr>
        <w:rPr>
          <w:rFonts w:ascii="Arial" w:hAnsi="Arial" w:cs="Arial"/>
        </w:rPr>
      </w:pPr>
      <w:r w:rsidRPr="007D430C">
        <w:rPr>
          <w:rFonts w:ascii="Arial" w:hAnsi="Arial" w:cs="Arial"/>
        </w:rPr>
        <w:t>Additional capital raising activities were undertaken during the year which raised $16</w:t>
      </w:r>
      <w:r w:rsidR="00A96431" w:rsidRPr="007D430C">
        <w:rPr>
          <w:rFonts w:ascii="Arial" w:hAnsi="Arial" w:cs="Arial"/>
        </w:rPr>
        <w:t>,</w:t>
      </w:r>
      <w:r w:rsidRPr="007D430C">
        <w:rPr>
          <w:rFonts w:ascii="Arial" w:hAnsi="Arial" w:cs="Arial"/>
        </w:rPr>
        <w:t>7</w:t>
      </w:r>
      <w:r w:rsidR="00A96431" w:rsidRPr="007D430C">
        <w:rPr>
          <w:rFonts w:ascii="Arial" w:hAnsi="Arial" w:cs="Arial"/>
        </w:rPr>
        <w:t>00 and allowed the Co</w:t>
      </w:r>
      <w:r w:rsidRPr="007D430C">
        <w:rPr>
          <w:rFonts w:ascii="Arial" w:hAnsi="Arial" w:cs="Arial"/>
        </w:rPr>
        <w:t>r</w:t>
      </w:r>
      <w:r w:rsidR="00A96431" w:rsidRPr="007D430C">
        <w:rPr>
          <w:rFonts w:ascii="Arial" w:hAnsi="Arial" w:cs="Arial"/>
        </w:rPr>
        <w:t>p</w:t>
      </w:r>
      <w:r w:rsidRPr="007D430C">
        <w:rPr>
          <w:rFonts w:ascii="Arial" w:hAnsi="Arial" w:cs="Arial"/>
        </w:rPr>
        <w:t>o</w:t>
      </w:r>
      <w:r w:rsidR="00A96431" w:rsidRPr="007D430C">
        <w:rPr>
          <w:rFonts w:ascii="Arial" w:hAnsi="Arial" w:cs="Arial"/>
        </w:rPr>
        <w:t>ration</w:t>
      </w:r>
      <w:r w:rsidRPr="007D430C">
        <w:rPr>
          <w:rFonts w:ascii="Arial" w:hAnsi="Arial" w:cs="Arial"/>
        </w:rPr>
        <w:t xml:space="preserve"> to fund the G</w:t>
      </w:r>
      <w:r w:rsidR="00A96431" w:rsidRPr="007D430C">
        <w:rPr>
          <w:rFonts w:ascii="Arial" w:hAnsi="Arial" w:cs="Arial"/>
        </w:rPr>
        <w:t>ETI</w:t>
      </w:r>
      <w:r w:rsidRPr="007D430C">
        <w:rPr>
          <w:rFonts w:ascii="Arial" w:hAnsi="Arial" w:cs="Arial"/>
        </w:rPr>
        <w:t xml:space="preserve"> Ltd </w:t>
      </w:r>
      <w:r w:rsidR="00A96431" w:rsidRPr="007D430C">
        <w:rPr>
          <w:rFonts w:ascii="Arial" w:hAnsi="Arial" w:cs="Arial"/>
        </w:rPr>
        <w:t>operationalization of GETIShop</w:t>
      </w:r>
      <w:r w:rsidRPr="007D430C">
        <w:rPr>
          <w:rFonts w:ascii="Arial" w:hAnsi="Arial" w:cs="Arial"/>
        </w:rPr>
        <w:t xml:space="preserve"> via a cash settlement as well as positioning the </w:t>
      </w:r>
      <w:r w:rsidR="00A96431" w:rsidRPr="007D430C">
        <w:rPr>
          <w:rFonts w:ascii="Arial" w:hAnsi="Arial" w:cs="Arial"/>
        </w:rPr>
        <w:t>Corporation</w:t>
      </w:r>
      <w:r w:rsidRPr="007D430C">
        <w:rPr>
          <w:rFonts w:ascii="Arial" w:hAnsi="Arial" w:cs="Arial"/>
        </w:rPr>
        <w:t xml:space="preserve"> in a strong cash position for 2017 to allow for </w:t>
      </w:r>
      <w:r w:rsidR="00A96431" w:rsidRPr="007D430C">
        <w:rPr>
          <w:rFonts w:ascii="Arial" w:hAnsi="Arial" w:cs="Arial"/>
        </w:rPr>
        <w:t>higher sales revenues</w:t>
      </w:r>
      <w:r w:rsidRPr="007D430C">
        <w:rPr>
          <w:rFonts w:ascii="Arial" w:hAnsi="Arial" w:cs="Arial"/>
        </w:rPr>
        <w:t>, if appropriate opportunities arise.</w:t>
      </w:r>
    </w:p>
    <w:p w:rsidR="002F0189" w:rsidRPr="007D430C" w:rsidRDefault="002F0189" w:rsidP="002F0189">
      <w:pPr>
        <w:rPr>
          <w:rFonts w:ascii="Arial" w:hAnsi="Arial" w:cs="Arial"/>
        </w:rPr>
      </w:pPr>
      <w:r w:rsidRPr="007D430C">
        <w:rPr>
          <w:rFonts w:ascii="Arial" w:hAnsi="Arial" w:cs="Arial"/>
        </w:rPr>
        <w:lastRenderedPageBreak/>
        <w:t xml:space="preserve">The </w:t>
      </w:r>
      <w:r w:rsidR="00A96431" w:rsidRPr="007D430C">
        <w:rPr>
          <w:rFonts w:ascii="Arial" w:hAnsi="Arial" w:cs="Arial"/>
        </w:rPr>
        <w:t>Corporation</w:t>
      </w:r>
      <w:r w:rsidRPr="007D430C">
        <w:rPr>
          <w:rFonts w:ascii="Arial" w:hAnsi="Arial" w:cs="Arial"/>
        </w:rPr>
        <w:t>’s net assets increased by 63% compared to the previous year, w</w:t>
      </w:r>
      <w:r w:rsidR="00A96431" w:rsidRPr="007D430C">
        <w:rPr>
          <w:rFonts w:ascii="Arial" w:hAnsi="Arial" w:cs="Arial"/>
        </w:rPr>
        <w:t>hich is largely due to the Corporation</w:t>
      </w:r>
      <w:r w:rsidRPr="007D430C">
        <w:rPr>
          <w:rFonts w:ascii="Arial" w:hAnsi="Arial" w:cs="Arial"/>
        </w:rPr>
        <w:t>’s capital raising activities.</w:t>
      </w:r>
    </w:p>
    <w:p w:rsidR="002F0189" w:rsidRPr="007D430C" w:rsidRDefault="002F0189" w:rsidP="002F0189">
      <w:pPr>
        <w:rPr>
          <w:rFonts w:ascii="Arial" w:hAnsi="Arial" w:cs="Arial"/>
        </w:rPr>
      </w:pPr>
      <w:r w:rsidRPr="007D430C">
        <w:rPr>
          <w:rFonts w:ascii="Arial" w:hAnsi="Arial" w:cs="Arial"/>
        </w:rPr>
        <w:t xml:space="preserve">The acquisitions which have occurred during the year are in line with the </w:t>
      </w:r>
      <w:r w:rsidR="00A96431" w:rsidRPr="007D430C">
        <w:rPr>
          <w:rFonts w:ascii="Arial" w:hAnsi="Arial" w:cs="Arial"/>
        </w:rPr>
        <w:t>Corporation</w:t>
      </w:r>
      <w:r w:rsidRPr="007D430C">
        <w:rPr>
          <w:rFonts w:ascii="Arial" w:hAnsi="Arial" w:cs="Arial"/>
        </w:rPr>
        <w:t xml:space="preserve">’s strategy to increase </w:t>
      </w:r>
      <w:r w:rsidR="00A96431" w:rsidRPr="007D430C">
        <w:rPr>
          <w:rFonts w:ascii="Arial" w:hAnsi="Arial" w:cs="Arial"/>
        </w:rPr>
        <w:t xml:space="preserve">both </w:t>
      </w:r>
      <w:r w:rsidRPr="007D430C">
        <w:rPr>
          <w:rFonts w:ascii="Arial" w:hAnsi="Arial" w:cs="Arial"/>
        </w:rPr>
        <w:t xml:space="preserve">online </w:t>
      </w:r>
      <w:r w:rsidR="00A96431" w:rsidRPr="007D430C">
        <w:rPr>
          <w:rFonts w:ascii="Arial" w:hAnsi="Arial" w:cs="Arial"/>
        </w:rPr>
        <w:t xml:space="preserve">and offline </w:t>
      </w:r>
      <w:r w:rsidRPr="007D430C">
        <w:rPr>
          <w:rFonts w:ascii="Arial" w:hAnsi="Arial" w:cs="Arial"/>
        </w:rPr>
        <w:t>sales capacity.</w:t>
      </w:r>
    </w:p>
    <w:p w:rsidR="002F0189" w:rsidRPr="007D430C" w:rsidRDefault="002F0189" w:rsidP="002F0189">
      <w:pPr>
        <w:rPr>
          <w:rFonts w:ascii="Arial" w:hAnsi="Arial" w:cs="Arial"/>
        </w:rPr>
      </w:pPr>
      <w:r w:rsidRPr="007D430C">
        <w:rPr>
          <w:rFonts w:ascii="Arial" w:hAnsi="Arial" w:cs="Arial"/>
        </w:rPr>
        <w:t>Goodwill of $2</w:t>
      </w:r>
      <w:r w:rsidR="00A96431" w:rsidRPr="007D430C">
        <w:rPr>
          <w:rFonts w:ascii="Arial" w:hAnsi="Arial" w:cs="Arial"/>
        </w:rPr>
        <w:t>,</w:t>
      </w:r>
      <w:r w:rsidRPr="007D430C">
        <w:rPr>
          <w:rFonts w:ascii="Arial" w:hAnsi="Arial" w:cs="Arial"/>
        </w:rPr>
        <w:t>4</w:t>
      </w:r>
      <w:r w:rsidR="00A96431" w:rsidRPr="007D430C">
        <w:rPr>
          <w:rFonts w:ascii="Arial" w:hAnsi="Arial" w:cs="Arial"/>
        </w:rPr>
        <w:t>40 arising from restructuring</w:t>
      </w:r>
      <w:r w:rsidRPr="007D430C">
        <w:rPr>
          <w:rFonts w:ascii="Arial" w:hAnsi="Arial" w:cs="Arial"/>
        </w:rPr>
        <w:t xml:space="preserve"> of G</w:t>
      </w:r>
      <w:r w:rsidR="00A96431" w:rsidRPr="007D430C">
        <w:rPr>
          <w:rFonts w:ascii="Arial" w:hAnsi="Arial" w:cs="Arial"/>
        </w:rPr>
        <w:t>ETI Ltd</w:t>
      </w:r>
      <w:r w:rsidRPr="007D430C">
        <w:rPr>
          <w:rFonts w:ascii="Arial" w:hAnsi="Arial" w:cs="Arial"/>
        </w:rPr>
        <w:t xml:space="preserve"> (as described below) is primarily related to growth expectations, expected future profitability, the substantial skill and expertise of G</w:t>
      </w:r>
      <w:r w:rsidR="00A96431" w:rsidRPr="007D430C">
        <w:rPr>
          <w:rFonts w:ascii="Arial" w:hAnsi="Arial" w:cs="Arial"/>
        </w:rPr>
        <w:t xml:space="preserve">ETI </w:t>
      </w:r>
      <w:r w:rsidR="00856DE3" w:rsidRPr="007D430C">
        <w:rPr>
          <w:rFonts w:ascii="Arial" w:hAnsi="Arial" w:cs="Arial"/>
        </w:rPr>
        <w:t>Ltd.’s</w:t>
      </w:r>
      <w:r w:rsidRPr="007D430C">
        <w:rPr>
          <w:rFonts w:ascii="Arial" w:hAnsi="Arial" w:cs="Arial"/>
        </w:rPr>
        <w:t xml:space="preserve"> workforce and expected cost synergies.</w:t>
      </w:r>
    </w:p>
    <w:p w:rsidR="002F0189" w:rsidRPr="007D430C" w:rsidRDefault="002F0189" w:rsidP="002F0189">
      <w:pPr>
        <w:rPr>
          <w:rFonts w:ascii="Arial" w:hAnsi="Arial" w:cs="Arial"/>
        </w:rPr>
      </w:pPr>
      <w:r w:rsidRPr="007D430C">
        <w:rPr>
          <w:rFonts w:ascii="Arial" w:hAnsi="Arial" w:cs="Arial"/>
        </w:rPr>
        <w:t xml:space="preserve">The Chairman’s report contains further information on the detailed operations of the </w:t>
      </w:r>
      <w:r w:rsidR="00A96431" w:rsidRPr="007D430C">
        <w:rPr>
          <w:rFonts w:ascii="Arial" w:hAnsi="Arial" w:cs="Arial"/>
        </w:rPr>
        <w:t>Corporation</w:t>
      </w:r>
      <w:r w:rsidRPr="007D430C">
        <w:rPr>
          <w:rFonts w:ascii="Arial" w:hAnsi="Arial" w:cs="Arial"/>
        </w:rPr>
        <w:t xml:space="preserve"> during the year.</w:t>
      </w:r>
    </w:p>
    <w:p w:rsidR="002F0189" w:rsidRDefault="002F0189" w:rsidP="007962DD">
      <w:pPr>
        <w:pStyle w:val="Heading3"/>
      </w:pPr>
      <w:bookmarkStart w:id="5" w:name="_Toc467594172"/>
      <w:r>
        <w:t>Significant changes in the state of affairs</w:t>
      </w:r>
      <w:bookmarkEnd w:id="5"/>
    </w:p>
    <w:p w:rsidR="002F0189" w:rsidRPr="007D430C" w:rsidRDefault="002F0189" w:rsidP="002F0189">
      <w:pPr>
        <w:rPr>
          <w:rFonts w:ascii="Arial" w:hAnsi="Arial" w:cs="Arial"/>
        </w:rPr>
      </w:pPr>
      <w:r w:rsidRPr="007D430C">
        <w:rPr>
          <w:rFonts w:ascii="Arial" w:hAnsi="Arial" w:cs="Arial"/>
        </w:rPr>
        <w:t xml:space="preserve">During the year, the following changes occurred within the </w:t>
      </w:r>
      <w:r w:rsidR="00864B94" w:rsidRPr="007D430C">
        <w:rPr>
          <w:rFonts w:ascii="Arial" w:hAnsi="Arial" w:cs="Arial"/>
        </w:rPr>
        <w:t>Corporation</w:t>
      </w:r>
      <w:r w:rsidRPr="007D430C">
        <w:rPr>
          <w:rFonts w:ascii="Arial" w:hAnsi="Arial" w:cs="Arial"/>
        </w:rPr>
        <w:t>:</w:t>
      </w:r>
    </w:p>
    <w:p w:rsidR="002F0189" w:rsidRDefault="00864B94" w:rsidP="007962DD">
      <w:pPr>
        <w:pStyle w:val="Heading4"/>
      </w:pPr>
      <w:r>
        <w:t xml:space="preserve">Recapitalisation </w:t>
      </w:r>
      <w:r w:rsidR="002F0189">
        <w:t>of G</w:t>
      </w:r>
      <w:r>
        <w:t>ETI</w:t>
      </w:r>
      <w:r w:rsidR="002F0189">
        <w:t xml:space="preserve"> Ltd:</w:t>
      </w:r>
    </w:p>
    <w:p w:rsidR="002F0189" w:rsidRPr="007D430C" w:rsidRDefault="00864B94" w:rsidP="002F0189">
      <w:pPr>
        <w:rPr>
          <w:rFonts w:ascii="Arial" w:hAnsi="Arial" w:cs="Arial"/>
        </w:rPr>
      </w:pPr>
      <w:r w:rsidRPr="007D430C">
        <w:rPr>
          <w:rFonts w:ascii="Arial" w:hAnsi="Arial" w:cs="Arial"/>
        </w:rPr>
        <w:t>On 30 September 2015, the Corporation</w:t>
      </w:r>
      <w:r w:rsidR="002F0189" w:rsidRPr="007D430C">
        <w:rPr>
          <w:rFonts w:ascii="Arial" w:hAnsi="Arial" w:cs="Arial"/>
        </w:rPr>
        <w:t xml:space="preserve"> </w:t>
      </w:r>
      <w:r w:rsidR="001560A3" w:rsidRPr="007D430C">
        <w:rPr>
          <w:rFonts w:ascii="Arial" w:hAnsi="Arial" w:cs="Arial"/>
        </w:rPr>
        <w:t xml:space="preserve">recapitalized GETI Ltd by </w:t>
      </w:r>
      <w:r w:rsidR="002F0189" w:rsidRPr="007D430C">
        <w:rPr>
          <w:rFonts w:ascii="Arial" w:hAnsi="Arial" w:cs="Arial"/>
        </w:rPr>
        <w:t xml:space="preserve">100% of </w:t>
      </w:r>
      <w:r w:rsidR="001560A3" w:rsidRPr="007D430C">
        <w:rPr>
          <w:rFonts w:ascii="Arial" w:hAnsi="Arial" w:cs="Arial"/>
        </w:rPr>
        <w:t>its market value thereby allowing it to retool and gain market share.</w:t>
      </w:r>
      <w:r w:rsidR="002F0189" w:rsidRPr="007D430C">
        <w:rPr>
          <w:rFonts w:ascii="Arial" w:hAnsi="Arial" w:cs="Arial"/>
        </w:rPr>
        <w:t xml:space="preserve"> The </w:t>
      </w:r>
      <w:r w:rsidR="001560A3" w:rsidRPr="007D430C">
        <w:rPr>
          <w:rFonts w:ascii="Arial" w:hAnsi="Arial" w:cs="Arial"/>
        </w:rPr>
        <w:t xml:space="preserve">recapitalization </w:t>
      </w:r>
      <w:r w:rsidR="002F0189" w:rsidRPr="007D430C">
        <w:rPr>
          <w:rFonts w:ascii="Arial" w:hAnsi="Arial" w:cs="Arial"/>
        </w:rPr>
        <w:t xml:space="preserve">was made to enhance the </w:t>
      </w:r>
      <w:r w:rsidR="001560A3" w:rsidRPr="007D430C">
        <w:rPr>
          <w:rFonts w:ascii="Arial" w:hAnsi="Arial" w:cs="Arial"/>
        </w:rPr>
        <w:t>Corporation</w:t>
      </w:r>
      <w:r w:rsidR="002F0189" w:rsidRPr="007D430C">
        <w:rPr>
          <w:rFonts w:ascii="Arial" w:hAnsi="Arial" w:cs="Arial"/>
        </w:rPr>
        <w:t xml:space="preserve">’s position in the retail market for computer and telecommunications hardware in </w:t>
      </w:r>
      <w:r w:rsidR="001560A3" w:rsidRPr="007D430C">
        <w:rPr>
          <w:rFonts w:ascii="Arial" w:hAnsi="Arial" w:cs="Arial"/>
        </w:rPr>
        <w:t>Zimbabwe</w:t>
      </w:r>
      <w:r w:rsidR="002F0189" w:rsidRPr="007D430C">
        <w:rPr>
          <w:rFonts w:ascii="Arial" w:hAnsi="Arial" w:cs="Arial"/>
        </w:rPr>
        <w:t>. G</w:t>
      </w:r>
      <w:r w:rsidR="001560A3" w:rsidRPr="007D430C">
        <w:rPr>
          <w:rFonts w:ascii="Arial" w:hAnsi="Arial" w:cs="Arial"/>
        </w:rPr>
        <w:t>ETI</w:t>
      </w:r>
      <w:r w:rsidR="002F0189" w:rsidRPr="007D430C">
        <w:rPr>
          <w:rFonts w:ascii="Arial" w:hAnsi="Arial" w:cs="Arial"/>
        </w:rPr>
        <w:t xml:space="preserve"> is </w:t>
      </w:r>
      <w:r w:rsidR="001560A3" w:rsidRPr="007D430C">
        <w:rPr>
          <w:rFonts w:ascii="Arial" w:hAnsi="Arial" w:cs="Arial"/>
        </w:rPr>
        <w:t xml:space="preserve">now </w:t>
      </w:r>
      <w:r w:rsidR="002F0189" w:rsidRPr="007D430C">
        <w:rPr>
          <w:rFonts w:ascii="Arial" w:hAnsi="Arial" w:cs="Arial"/>
        </w:rPr>
        <w:t xml:space="preserve">a significant business in </w:t>
      </w:r>
      <w:r w:rsidR="001560A3" w:rsidRPr="007D430C">
        <w:rPr>
          <w:rFonts w:ascii="Arial" w:hAnsi="Arial" w:cs="Arial"/>
        </w:rPr>
        <w:t>Zimbabwe</w:t>
      </w:r>
      <w:r w:rsidR="002F0189" w:rsidRPr="007D430C">
        <w:rPr>
          <w:rFonts w:ascii="Arial" w:hAnsi="Arial" w:cs="Arial"/>
        </w:rPr>
        <w:t xml:space="preserve"> in the </w:t>
      </w:r>
      <w:r w:rsidR="001560A3" w:rsidRPr="007D430C">
        <w:rPr>
          <w:rFonts w:ascii="Arial" w:hAnsi="Arial" w:cs="Arial"/>
        </w:rPr>
        <w:t>Corporation</w:t>
      </w:r>
      <w:r w:rsidR="002F0189" w:rsidRPr="007D430C">
        <w:rPr>
          <w:rFonts w:ascii="Arial" w:hAnsi="Arial" w:cs="Arial"/>
        </w:rPr>
        <w:t>’s t</w:t>
      </w:r>
      <w:r w:rsidR="001560A3" w:rsidRPr="007D430C">
        <w:rPr>
          <w:rFonts w:ascii="Arial" w:hAnsi="Arial" w:cs="Arial"/>
        </w:rPr>
        <w:t xml:space="preserve">argeted market. The cost of recapitalization </w:t>
      </w:r>
      <w:r w:rsidR="002F0189" w:rsidRPr="007D430C">
        <w:rPr>
          <w:rFonts w:ascii="Arial" w:hAnsi="Arial" w:cs="Arial"/>
        </w:rPr>
        <w:t>was $1</w:t>
      </w:r>
      <w:r w:rsidR="001560A3" w:rsidRPr="007D430C">
        <w:rPr>
          <w:rFonts w:ascii="Arial" w:hAnsi="Arial" w:cs="Arial"/>
        </w:rPr>
        <w:t>,</w:t>
      </w:r>
      <w:r w:rsidR="002F0189" w:rsidRPr="007D430C">
        <w:rPr>
          <w:rFonts w:ascii="Arial" w:hAnsi="Arial" w:cs="Arial"/>
        </w:rPr>
        <w:t xml:space="preserve">606 which was </w:t>
      </w:r>
      <w:r w:rsidR="001560A3" w:rsidRPr="007D430C">
        <w:rPr>
          <w:rFonts w:ascii="Arial" w:hAnsi="Arial" w:cs="Arial"/>
        </w:rPr>
        <w:t xml:space="preserve">made </w:t>
      </w:r>
      <w:r w:rsidR="002F0189" w:rsidRPr="007D430C">
        <w:rPr>
          <w:rFonts w:ascii="Arial" w:hAnsi="Arial" w:cs="Arial"/>
        </w:rPr>
        <w:t>in cash.</w:t>
      </w:r>
    </w:p>
    <w:p w:rsidR="002F0189" w:rsidRDefault="00864B94" w:rsidP="007962DD">
      <w:pPr>
        <w:pStyle w:val="Heading4"/>
      </w:pPr>
      <w:r>
        <w:t xml:space="preserve">Operationalisation </w:t>
      </w:r>
      <w:r w:rsidR="002F0189">
        <w:t xml:space="preserve">of </w:t>
      </w:r>
      <w:r>
        <w:t>GETIShop</w:t>
      </w:r>
      <w:r w:rsidR="002F0189">
        <w:t>:</w:t>
      </w:r>
    </w:p>
    <w:p w:rsidR="002F0189" w:rsidRPr="007D430C" w:rsidRDefault="00864B94" w:rsidP="002F0189">
      <w:pPr>
        <w:rPr>
          <w:rFonts w:ascii="Arial" w:hAnsi="Arial" w:cs="Arial"/>
        </w:rPr>
      </w:pPr>
      <w:r w:rsidRPr="007D430C">
        <w:rPr>
          <w:rFonts w:ascii="Arial" w:hAnsi="Arial" w:cs="Arial"/>
        </w:rPr>
        <w:t>On 14</w:t>
      </w:r>
      <w:r w:rsidR="002F0189" w:rsidRPr="007D430C">
        <w:rPr>
          <w:rFonts w:ascii="Arial" w:hAnsi="Arial" w:cs="Arial"/>
        </w:rPr>
        <w:t xml:space="preserve"> Ma</w:t>
      </w:r>
      <w:r w:rsidRPr="007D430C">
        <w:rPr>
          <w:rFonts w:ascii="Arial" w:hAnsi="Arial" w:cs="Arial"/>
        </w:rPr>
        <w:t>y</w:t>
      </w:r>
      <w:r w:rsidR="002F0189" w:rsidRPr="007D430C">
        <w:rPr>
          <w:rFonts w:ascii="Arial" w:hAnsi="Arial" w:cs="Arial"/>
        </w:rPr>
        <w:t xml:space="preserve"> 2016, the </w:t>
      </w:r>
      <w:r w:rsidRPr="007D430C">
        <w:rPr>
          <w:rFonts w:ascii="Arial" w:hAnsi="Arial" w:cs="Arial"/>
        </w:rPr>
        <w:t>Corporation</w:t>
      </w:r>
      <w:r w:rsidR="002F0189" w:rsidRPr="007D430C">
        <w:rPr>
          <w:rFonts w:ascii="Arial" w:hAnsi="Arial" w:cs="Arial"/>
        </w:rPr>
        <w:t xml:space="preserve"> </w:t>
      </w:r>
      <w:r w:rsidRPr="007D430C">
        <w:rPr>
          <w:rFonts w:ascii="Arial" w:hAnsi="Arial" w:cs="Arial"/>
        </w:rPr>
        <w:t>opened the doors of GETIShop which is</w:t>
      </w:r>
      <w:r w:rsidR="002F0189" w:rsidRPr="007D430C">
        <w:rPr>
          <w:rFonts w:ascii="Arial" w:hAnsi="Arial" w:cs="Arial"/>
        </w:rPr>
        <w:t xml:space="preserve"> 100% </w:t>
      </w:r>
      <w:r w:rsidRPr="007D430C">
        <w:rPr>
          <w:rFonts w:ascii="Arial" w:hAnsi="Arial" w:cs="Arial"/>
        </w:rPr>
        <w:t xml:space="preserve">owned by </w:t>
      </w:r>
      <w:r w:rsidR="002F0189" w:rsidRPr="007D430C">
        <w:rPr>
          <w:rFonts w:ascii="Arial" w:hAnsi="Arial" w:cs="Arial"/>
        </w:rPr>
        <w:t xml:space="preserve">subsidiary, </w:t>
      </w:r>
      <w:r w:rsidRPr="007D430C">
        <w:rPr>
          <w:rFonts w:ascii="Arial" w:hAnsi="Arial" w:cs="Arial"/>
        </w:rPr>
        <w:t xml:space="preserve">GETI </w:t>
      </w:r>
      <w:r w:rsidR="002F0189" w:rsidRPr="007D430C">
        <w:rPr>
          <w:rFonts w:ascii="Arial" w:hAnsi="Arial" w:cs="Arial"/>
        </w:rPr>
        <w:t>Limited. The s</w:t>
      </w:r>
      <w:r w:rsidRPr="007D430C">
        <w:rPr>
          <w:rFonts w:ascii="Arial" w:hAnsi="Arial" w:cs="Arial"/>
        </w:rPr>
        <w:t>hop</w:t>
      </w:r>
      <w:r w:rsidR="002F0189" w:rsidRPr="007D430C">
        <w:rPr>
          <w:rFonts w:ascii="Arial" w:hAnsi="Arial" w:cs="Arial"/>
        </w:rPr>
        <w:t xml:space="preserve"> was classified as </w:t>
      </w:r>
      <w:r w:rsidRPr="007D430C">
        <w:rPr>
          <w:rFonts w:ascii="Arial" w:hAnsi="Arial" w:cs="Arial"/>
        </w:rPr>
        <w:t xml:space="preserve">operational </w:t>
      </w:r>
      <w:r w:rsidR="002F0189" w:rsidRPr="007D430C">
        <w:rPr>
          <w:rFonts w:ascii="Arial" w:hAnsi="Arial" w:cs="Arial"/>
        </w:rPr>
        <w:t xml:space="preserve">in the 2014 financial statements. There was </w:t>
      </w:r>
      <w:r w:rsidR="00856DE3" w:rsidRPr="007D430C">
        <w:rPr>
          <w:rFonts w:ascii="Arial" w:hAnsi="Arial" w:cs="Arial"/>
        </w:rPr>
        <w:t>an</w:t>
      </w:r>
      <w:r w:rsidR="002F0189" w:rsidRPr="007D430C">
        <w:rPr>
          <w:rFonts w:ascii="Arial" w:hAnsi="Arial" w:cs="Arial"/>
        </w:rPr>
        <w:t xml:space="preserve"> </w:t>
      </w:r>
      <w:r w:rsidRPr="007D430C">
        <w:rPr>
          <w:rFonts w:ascii="Arial" w:hAnsi="Arial" w:cs="Arial"/>
        </w:rPr>
        <w:t xml:space="preserve">operating </w:t>
      </w:r>
      <w:r w:rsidR="002F0189" w:rsidRPr="007D430C">
        <w:rPr>
          <w:rFonts w:ascii="Arial" w:hAnsi="Arial" w:cs="Arial"/>
        </w:rPr>
        <w:t xml:space="preserve">loss </w:t>
      </w:r>
      <w:r w:rsidRPr="007D430C">
        <w:rPr>
          <w:rFonts w:ascii="Arial" w:hAnsi="Arial" w:cs="Arial"/>
        </w:rPr>
        <w:t>of $2</w:t>
      </w:r>
      <w:r w:rsidR="002F0189" w:rsidRPr="007D430C">
        <w:rPr>
          <w:rFonts w:ascii="Arial" w:hAnsi="Arial" w:cs="Arial"/>
        </w:rPr>
        <w:t>,000.</w:t>
      </w:r>
    </w:p>
    <w:p w:rsidR="002F0189" w:rsidRDefault="002F0189" w:rsidP="007962DD">
      <w:pPr>
        <w:pStyle w:val="Heading4"/>
      </w:pPr>
      <w:r>
        <w:t>Issue of share capital:</w:t>
      </w:r>
    </w:p>
    <w:p w:rsidR="002F0189" w:rsidRPr="007D430C" w:rsidRDefault="00864B94" w:rsidP="002F0189">
      <w:pPr>
        <w:rPr>
          <w:rFonts w:ascii="Arial" w:hAnsi="Arial" w:cs="Arial"/>
        </w:rPr>
      </w:pPr>
      <w:r w:rsidRPr="007D430C">
        <w:rPr>
          <w:rFonts w:ascii="Arial" w:hAnsi="Arial" w:cs="Arial"/>
        </w:rPr>
        <w:t>On 14</w:t>
      </w:r>
      <w:r w:rsidR="002F0189" w:rsidRPr="007D430C">
        <w:rPr>
          <w:rFonts w:ascii="Arial" w:hAnsi="Arial" w:cs="Arial"/>
        </w:rPr>
        <w:t xml:space="preserve"> Ma</w:t>
      </w:r>
      <w:r w:rsidRPr="007D430C">
        <w:rPr>
          <w:rFonts w:ascii="Arial" w:hAnsi="Arial" w:cs="Arial"/>
        </w:rPr>
        <w:t>y</w:t>
      </w:r>
      <w:r w:rsidR="002F0189" w:rsidRPr="007D430C">
        <w:rPr>
          <w:rFonts w:ascii="Arial" w:hAnsi="Arial" w:cs="Arial"/>
        </w:rPr>
        <w:t xml:space="preserve"> 2016, the </w:t>
      </w:r>
      <w:r w:rsidRPr="007D430C">
        <w:rPr>
          <w:rFonts w:ascii="Arial" w:hAnsi="Arial" w:cs="Arial"/>
        </w:rPr>
        <w:t>Corporation</w:t>
      </w:r>
      <w:r w:rsidR="002F0189" w:rsidRPr="007D430C">
        <w:rPr>
          <w:rFonts w:ascii="Arial" w:hAnsi="Arial" w:cs="Arial"/>
        </w:rPr>
        <w:t xml:space="preserve"> issued 1,500,000 shares as part of its capital raising program wh</w:t>
      </w:r>
      <w:r w:rsidRPr="007D430C">
        <w:rPr>
          <w:rFonts w:ascii="Arial" w:hAnsi="Arial" w:cs="Arial"/>
        </w:rPr>
        <w:t>ich resulted in proceeds of $16,</w:t>
      </w:r>
      <w:r w:rsidR="002F0189" w:rsidRPr="007D430C">
        <w:rPr>
          <w:rFonts w:ascii="Arial" w:hAnsi="Arial" w:cs="Arial"/>
        </w:rPr>
        <w:t>7</w:t>
      </w:r>
      <w:r w:rsidRPr="007D430C">
        <w:rPr>
          <w:rFonts w:ascii="Arial" w:hAnsi="Arial" w:cs="Arial"/>
        </w:rPr>
        <w:t>00</w:t>
      </w:r>
      <w:r w:rsidR="002F0189" w:rsidRPr="007D430C">
        <w:rPr>
          <w:rFonts w:ascii="Arial" w:hAnsi="Arial" w:cs="Arial"/>
        </w:rPr>
        <w:t xml:space="preserve"> each share has the same terms and conditions as the existing ordinary shares.</w:t>
      </w:r>
    </w:p>
    <w:p w:rsidR="00343385" w:rsidRDefault="00343385" w:rsidP="007962DD">
      <w:pPr>
        <w:pStyle w:val="Heading3"/>
      </w:pPr>
      <w:bookmarkStart w:id="6" w:name="_Toc467594173"/>
      <w:r>
        <w:t>Dividends</w:t>
      </w:r>
      <w:bookmarkEnd w:id="6"/>
    </w:p>
    <w:p w:rsidR="00343385" w:rsidRPr="007D430C" w:rsidRDefault="00343385" w:rsidP="00864B94">
      <w:pPr>
        <w:rPr>
          <w:rFonts w:ascii="Arial" w:hAnsi="Arial" w:cs="Arial"/>
        </w:rPr>
      </w:pPr>
      <w:r w:rsidRPr="007D430C">
        <w:rPr>
          <w:rFonts w:ascii="Arial" w:hAnsi="Arial" w:cs="Arial"/>
        </w:rPr>
        <w:t xml:space="preserve">In respect of the current year, </w:t>
      </w:r>
      <w:r w:rsidR="00765C80" w:rsidRPr="007D430C">
        <w:rPr>
          <w:rFonts w:ascii="Arial" w:hAnsi="Arial" w:cs="Arial"/>
        </w:rPr>
        <w:t xml:space="preserve">no </w:t>
      </w:r>
      <w:r w:rsidRPr="007D430C">
        <w:rPr>
          <w:rFonts w:ascii="Arial" w:hAnsi="Arial" w:cs="Arial"/>
        </w:rPr>
        <w:t xml:space="preserve">dividend </w:t>
      </w:r>
      <w:r w:rsidR="00765C80" w:rsidRPr="007D430C">
        <w:rPr>
          <w:rFonts w:ascii="Arial" w:hAnsi="Arial" w:cs="Arial"/>
        </w:rPr>
        <w:t>will</w:t>
      </w:r>
      <w:r w:rsidRPr="007D430C">
        <w:rPr>
          <w:rFonts w:ascii="Arial" w:hAnsi="Arial" w:cs="Arial"/>
        </w:rPr>
        <w:t xml:space="preserve"> </w:t>
      </w:r>
      <w:r w:rsidR="00765C80" w:rsidRPr="007D430C">
        <w:rPr>
          <w:rFonts w:ascii="Arial" w:hAnsi="Arial" w:cs="Arial"/>
        </w:rPr>
        <w:t xml:space="preserve">be paid on </w:t>
      </w:r>
      <w:r w:rsidRPr="007D430C">
        <w:rPr>
          <w:rFonts w:ascii="Arial" w:hAnsi="Arial" w:cs="Arial"/>
        </w:rPr>
        <w:t>1</w:t>
      </w:r>
      <w:r w:rsidR="00765C80" w:rsidRPr="007D430C">
        <w:rPr>
          <w:rFonts w:ascii="Arial" w:hAnsi="Arial" w:cs="Arial"/>
        </w:rPr>
        <w:t>4</w:t>
      </w:r>
      <w:r w:rsidRPr="007D430C">
        <w:rPr>
          <w:rFonts w:ascii="Arial" w:hAnsi="Arial" w:cs="Arial"/>
        </w:rPr>
        <w:t xml:space="preserve"> </w:t>
      </w:r>
      <w:r w:rsidR="00765C80" w:rsidRPr="007D430C">
        <w:rPr>
          <w:rFonts w:ascii="Arial" w:hAnsi="Arial" w:cs="Arial"/>
        </w:rPr>
        <w:t>November</w:t>
      </w:r>
      <w:r w:rsidRPr="007D430C">
        <w:rPr>
          <w:rFonts w:ascii="Arial" w:hAnsi="Arial" w:cs="Arial"/>
        </w:rPr>
        <w:t xml:space="preserve"> 2016 (2015: $</w:t>
      </w:r>
      <w:proofErr w:type="gramStart"/>
      <w:r w:rsidRPr="007D430C">
        <w:rPr>
          <w:rFonts w:ascii="Arial" w:hAnsi="Arial" w:cs="Arial"/>
        </w:rPr>
        <w:t>Nil</w:t>
      </w:r>
      <w:proofErr w:type="gramEnd"/>
      <w:r w:rsidRPr="007D430C">
        <w:rPr>
          <w:rFonts w:ascii="Arial" w:hAnsi="Arial" w:cs="Arial"/>
        </w:rPr>
        <w:t>).</w:t>
      </w:r>
    </w:p>
    <w:p w:rsidR="00973C76" w:rsidRDefault="00973C76" w:rsidP="007962DD">
      <w:pPr>
        <w:pStyle w:val="Heading3"/>
      </w:pPr>
      <w:bookmarkStart w:id="7" w:name="_Toc467594174"/>
      <w:r>
        <w:t>Events arising since the end of the reporting period</w:t>
      </w:r>
      <w:bookmarkEnd w:id="7"/>
    </w:p>
    <w:p w:rsidR="00973C76" w:rsidRPr="007D430C" w:rsidRDefault="00973C76" w:rsidP="00973C76">
      <w:pPr>
        <w:rPr>
          <w:rFonts w:ascii="Arial" w:hAnsi="Arial" w:cs="Arial"/>
        </w:rPr>
      </w:pPr>
      <w:r w:rsidRPr="007D430C">
        <w:rPr>
          <w:rFonts w:ascii="Arial" w:hAnsi="Arial" w:cs="Arial"/>
        </w:rPr>
        <w:t>Apart from the final dividend declared, there are no other matters or circumstances that have arisen since the end of the year that have significantly affected or may significantly affect either:</w:t>
      </w:r>
    </w:p>
    <w:p w:rsidR="00973C76" w:rsidRPr="007D430C" w:rsidRDefault="00973C76" w:rsidP="00765C80">
      <w:pPr>
        <w:pStyle w:val="ListParagraph"/>
        <w:numPr>
          <w:ilvl w:val="0"/>
          <w:numId w:val="10"/>
        </w:numPr>
        <w:rPr>
          <w:rFonts w:ascii="Arial" w:hAnsi="Arial" w:cs="Arial"/>
        </w:rPr>
      </w:pPr>
      <w:r w:rsidRPr="007D430C">
        <w:rPr>
          <w:rFonts w:ascii="Arial" w:hAnsi="Arial" w:cs="Arial"/>
        </w:rPr>
        <w:t>the entity’s operations in future financial years</w:t>
      </w:r>
    </w:p>
    <w:p w:rsidR="00973C76" w:rsidRPr="007D430C" w:rsidRDefault="00973C76" w:rsidP="00765C80">
      <w:pPr>
        <w:pStyle w:val="ListParagraph"/>
        <w:numPr>
          <w:ilvl w:val="0"/>
          <w:numId w:val="10"/>
        </w:numPr>
        <w:rPr>
          <w:rFonts w:ascii="Arial" w:hAnsi="Arial" w:cs="Arial"/>
        </w:rPr>
      </w:pPr>
      <w:r w:rsidRPr="007D430C">
        <w:rPr>
          <w:rFonts w:ascii="Arial" w:hAnsi="Arial" w:cs="Arial"/>
        </w:rPr>
        <w:t>the results of those operations in future financial years; or</w:t>
      </w:r>
    </w:p>
    <w:p w:rsidR="00973C76" w:rsidRDefault="00973C76" w:rsidP="00765C80">
      <w:pPr>
        <w:pStyle w:val="ListParagraph"/>
        <w:numPr>
          <w:ilvl w:val="0"/>
          <w:numId w:val="10"/>
        </w:numPr>
        <w:rPr>
          <w:rFonts w:ascii="Arial" w:hAnsi="Arial" w:cs="Arial"/>
        </w:rPr>
      </w:pPr>
      <w:r w:rsidRPr="007D430C">
        <w:rPr>
          <w:rFonts w:ascii="Arial" w:hAnsi="Arial" w:cs="Arial"/>
        </w:rPr>
        <w:t>the entity’s state of affairs in future financial years</w:t>
      </w:r>
    </w:p>
    <w:p w:rsidR="00F004FC" w:rsidRPr="00F004FC" w:rsidRDefault="00F004FC" w:rsidP="00F004FC">
      <w:pPr>
        <w:rPr>
          <w:rFonts w:ascii="Arial" w:hAnsi="Arial" w:cs="Arial"/>
        </w:rPr>
      </w:pPr>
    </w:p>
    <w:p w:rsidR="00973C76" w:rsidRDefault="00973C76" w:rsidP="007962DD">
      <w:pPr>
        <w:pStyle w:val="Heading3"/>
      </w:pPr>
      <w:bookmarkStart w:id="8" w:name="_Toc467594175"/>
      <w:r>
        <w:lastRenderedPageBreak/>
        <w:t>Likely developments, business strategies and prospects</w:t>
      </w:r>
      <w:bookmarkEnd w:id="8"/>
    </w:p>
    <w:p w:rsidR="00973C76" w:rsidRPr="007D430C" w:rsidRDefault="00973C76" w:rsidP="00973C76">
      <w:pPr>
        <w:rPr>
          <w:rFonts w:ascii="Arial" w:hAnsi="Arial" w:cs="Arial"/>
        </w:rPr>
      </w:pPr>
      <w:r w:rsidRPr="007D430C">
        <w:rPr>
          <w:rFonts w:ascii="Arial" w:hAnsi="Arial" w:cs="Arial"/>
        </w:rPr>
        <w:t>Based on the expected growth in online sales, as predicted by a number of prominent economic commentators, and the demand from customers for the latest technology, we expect significant increase in online sales for next few years. We have a number of strategies to benefit from this growth, including:</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upgrading our online sales portal</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further expanding our distribution networks</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further reducing manufacturing costs; and</w:t>
      </w:r>
    </w:p>
    <w:p w:rsidR="00973C76" w:rsidRPr="007D430C" w:rsidRDefault="00973C76" w:rsidP="00765C80">
      <w:pPr>
        <w:pStyle w:val="ListParagraph"/>
        <w:numPr>
          <w:ilvl w:val="0"/>
          <w:numId w:val="9"/>
        </w:numPr>
        <w:rPr>
          <w:rFonts w:ascii="Arial" w:hAnsi="Arial" w:cs="Arial"/>
        </w:rPr>
      </w:pPr>
      <w:r w:rsidRPr="007D430C">
        <w:rPr>
          <w:rFonts w:ascii="Arial" w:hAnsi="Arial" w:cs="Arial"/>
        </w:rPr>
        <w:t>a strong marketing campaign</w:t>
      </w:r>
    </w:p>
    <w:p w:rsidR="00973C76" w:rsidRPr="007D430C" w:rsidRDefault="00973C76" w:rsidP="00973C76">
      <w:pPr>
        <w:rPr>
          <w:rFonts w:ascii="Arial" w:hAnsi="Arial" w:cs="Arial"/>
        </w:rPr>
      </w:pPr>
      <w:r w:rsidRPr="007D430C">
        <w:rPr>
          <w:rFonts w:ascii="Arial" w:hAnsi="Arial" w:cs="Arial"/>
        </w:rPr>
        <w:t>We have instigate</w:t>
      </w:r>
      <w:r w:rsidR="00765C80" w:rsidRPr="007D430C">
        <w:rPr>
          <w:rFonts w:ascii="Arial" w:hAnsi="Arial" w:cs="Arial"/>
        </w:rPr>
        <w:t>d an urgent upgrade of the Corporation</w:t>
      </w:r>
      <w:r w:rsidRPr="007D430C">
        <w:rPr>
          <w:rFonts w:ascii="Arial" w:hAnsi="Arial" w:cs="Arial"/>
        </w:rPr>
        <w:t>’s website and online sales portal. We have allocated $3.8m for this upgrade, which will mostly be funded from retained earnings. We expect the upgrade to be completed in the next twelve (12) months, to be followed by a strong marketing campaign.</w:t>
      </w:r>
    </w:p>
    <w:p w:rsidR="00973C76" w:rsidRPr="007D430C" w:rsidRDefault="00973C76" w:rsidP="00973C76">
      <w:pPr>
        <w:rPr>
          <w:rFonts w:ascii="Arial" w:hAnsi="Arial" w:cs="Arial"/>
        </w:rPr>
      </w:pPr>
      <w:r w:rsidRPr="007D430C">
        <w:rPr>
          <w:rFonts w:ascii="Arial" w:hAnsi="Arial" w:cs="Arial"/>
        </w:rPr>
        <w:t xml:space="preserve">We are continually considering ways of reducing the </w:t>
      </w:r>
      <w:r w:rsidR="00765C80" w:rsidRPr="007D430C">
        <w:rPr>
          <w:rFonts w:ascii="Arial" w:hAnsi="Arial" w:cs="Arial"/>
        </w:rPr>
        <w:t>Corporation</w:t>
      </w:r>
      <w:r w:rsidRPr="007D430C">
        <w:rPr>
          <w:rFonts w:ascii="Arial" w:hAnsi="Arial" w:cs="Arial"/>
        </w:rPr>
        <w:t>’s cost of manufacturing. The Directors are giving consideration to a major upgrade of production-line technology to improve efficiency. The Directors expect to receive the results of a feasibility study within the next six (6) months, and the various options will be considered at that time.</w:t>
      </w:r>
    </w:p>
    <w:p w:rsidR="00F004FC" w:rsidRDefault="00765C80" w:rsidP="00973C76">
      <w:pPr>
        <w:rPr>
          <w:rFonts w:ascii="Arial" w:hAnsi="Arial" w:cs="Arial"/>
        </w:rPr>
      </w:pPr>
      <w:r w:rsidRPr="007D430C">
        <w:rPr>
          <w:rFonts w:ascii="Arial" w:hAnsi="Arial" w:cs="Arial"/>
        </w:rPr>
        <w:t>Looking ahead, the Corporation</w:t>
      </w:r>
      <w:r w:rsidR="00973C76" w:rsidRPr="007D430C">
        <w:rPr>
          <w:rFonts w:ascii="Arial" w:hAnsi="Arial" w:cs="Arial"/>
        </w:rPr>
        <w:t xml:space="preserve"> is currently engaged in a competitive tender process to supply the </w:t>
      </w:r>
      <w:r w:rsidR="00F004FC">
        <w:rPr>
          <w:rFonts w:ascii="Arial" w:hAnsi="Arial" w:cs="Arial"/>
        </w:rPr>
        <w:t xml:space="preserve">Zimbabwean </w:t>
      </w:r>
      <w:r w:rsidR="00973C76" w:rsidRPr="007D430C">
        <w:rPr>
          <w:rFonts w:ascii="Arial" w:hAnsi="Arial" w:cs="Arial"/>
        </w:rPr>
        <w:t>government $100</w:t>
      </w:r>
      <w:r w:rsidR="00F004FC">
        <w:rPr>
          <w:rFonts w:ascii="Arial" w:hAnsi="Arial" w:cs="Arial"/>
        </w:rPr>
        <w:t>,000</w:t>
      </w:r>
      <w:r w:rsidR="00973C76" w:rsidRPr="007D430C">
        <w:rPr>
          <w:rFonts w:ascii="Arial" w:hAnsi="Arial" w:cs="Arial"/>
        </w:rPr>
        <w:t xml:space="preserve"> IT and telecommunication systems and offer integration and maintenance services over the next </w:t>
      </w:r>
      <w:r w:rsidR="00F004FC">
        <w:rPr>
          <w:rFonts w:ascii="Arial" w:hAnsi="Arial" w:cs="Arial"/>
        </w:rPr>
        <w:t xml:space="preserve">five (5) </w:t>
      </w:r>
      <w:r w:rsidR="00973C76" w:rsidRPr="007D430C">
        <w:rPr>
          <w:rFonts w:ascii="Arial" w:hAnsi="Arial" w:cs="Arial"/>
        </w:rPr>
        <w:t xml:space="preserve">years. If successful, supply </w:t>
      </w:r>
      <w:r w:rsidR="00F004FC">
        <w:rPr>
          <w:rFonts w:ascii="Arial" w:hAnsi="Arial" w:cs="Arial"/>
        </w:rPr>
        <w:t>is</w:t>
      </w:r>
      <w:r w:rsidR="00973C76" w:rsidRPr="007D430C">
        <w:rPr>
          <w:rFonts w:ascii="Arial" w:hAnsi="Arial" w:cs="Arial"/>
        </w:rPr>
        <w:t xml:space="preserve"> expected to commence next year, significantly affecting future revenues. </w:t>
      </w:r>
    </w:p>
    <w:p w:rsidR="003B1E57" w:rsidRPr="007D430C" w:rsidRDefault="00973C76" w:rsidP="00973C76">
      <w:pPr>
        <w:rPr>
          <w:rFonts w:ascii="Arial" w:hAnsi="Arial" w:cs="Arial"/>
        </w:rPr>
      </w:pPr>
      <w:r w:rsidRPr="007D430C">
        <w:rPr>
          <w:rFonts w:ascii="Arial" w:hAnsi="Arial" w:cs="Arial"/>
        </w:rPr>
        <w:t xml:space="preserve">Given both the competitive nature of the tender, and the fact that the process is ongoing, we have utilised the exemption in </w:t>
      </w:r>
      <w:proofErr w:type="gramStart"/>
      <w:r w:rsidRPr="007D430C">
        <w:rPr>
          <w:rFonts w:ascii="Arial" w:hAnsi="Arial" w:cs="Arial"/>
        </w:rPr>
        <w:t>s299A(</w:t>
      </w:r>
      <w:proofErr w:type="gramEnd"/>
      <w:r w:rsidRPr="007D430C">
        <w:rPr>
          <w:rFonts w:ascii="Arial" w:hAnsi="Arial" w:cs="Arial"/>
        </w:rPr>
        <w:t xml:space="preserve">3) and have not disclosed further details about the possible impact of the potential contract on the </w:t>
      </w:r>
      <w:r w:rsidR="00CA4B20" w:rsidRPr="007D430C">
        <w:rPr>
          <w:rFonts w:ascii="Arial" w:hAnsi="Arial" w:cs="Arial"/>
        </w:rPr>
        <w:t>Corporation</w:t>
      </w:r>
      <w:r w:rsidRPr="007D430C">
        <w:rPr>
          <w:rFonts w:ascii="Arial" w:hAnsi="Arial" w:cs="Arial"/>
        </w:rPr>
        <w:t xml:space="preserve">’s business strategy and future prospects. We are relying on the exemption on the basis that disclosure of the potential financial impact on the </w:t>
      </w:r>
      <w:r w:rsidR="00CA4B20" w:rsidRPr="007D430C">
        <w:rPr>
          <w:rFonts w:ascii="Arial" w:hAnsi="Arial" w:cs="Arial"/>
        </w:rPr>
        <w:t>Corporation</w:t>
      </w:r>
      <w:r w:rsidRPr="007D430C">
        <w:rPr>
          <w:rFonts w:ascii="Arial" w:hAnsi="Arial" w:cs="Arial"/>
        </w:rPr>
        <w:t xml:space="preserve"> arising from the outcome of the tender process is premature, and would be likely to result in other tender competitors gaining a commercial advantage, </w:t>
      </w:r>
      <w:r w:rsidR="00CA4B20" w:rsidRPr="007D430C">
        <w:rPr>
          <w:rFonts w:ascii="Arial" w:hAnsi="Arial" w:cs="Arial"/>
        </w:rPr>
        <w:t>which would jeopardise the Corporation</w:t>
      </w:r>
      <w:r w:rsidRPr="007D430C">
        <w:rPr>
          <w:rFonts w:ascii="Arial" w:hAnsi="Arial" w:cs="Arial"/>
        </w:rPr>
        <w:t>’s prospects.</w:t>
      </w:r>
    </w:p>
    <w:p w:rsidR="00F004FC" w:rsidRDefault="00F004FC" w:rsidP="00F004FC">
      <w:pPr>
        <w:pStyle w:val="Heading3"/>
      </w:pPr>
      <w:bookmarkStart w:id="9" w:name="_Toc467594176"/>
      <w:r>
        <w:t>M</w:t>
      </w:r>
      <w:r w:rsidR="009B2AB9" w:rsidRPr="007D430C">
        <w:t>aterial b</w:t>
      </w:r>
      <w:r w:rsidR="00CA4B20" w:rsidRPr="007D430C">
        <w:t>usiness risks faced by the Corporation</w:t>
      </w:r>
      <w:bookmarkEnd w:id="9"/>
      <w:r w:rsidR="009B2AB9" w:rsidRPr="007D430C">
        <w:t xml:space="preserve"> </w:t>
      </w:r>
    </w:p>
    <w:p w:rsidR="009B2AB9" w:rsidRPr="007D430C" w:rsidRDefault="00F004FC" w:rsidP="009B2AB9">
      <w:pPr>
        <w:rPr>
          <w:rFonts w:ascii="Arial" w:hAnsi="Arial" w:cs="Arial"/>
        </w:rPr>
      </w:pPr>
      <w:r>
        <w:rPr>
          <w:rFonts w:ascii="Arial" w:hAnsi="Arial" w:cs="Arial"/>
        </w:rPr>
        <w:t>T</w:t>
      </w:r>
      <w:r w:rsidR="009B2AB9" w:rsidRPr="007D430C">
        <w:rPr>
          <w:rFonts w:ascii="Arial" w:hAnsi="Arial" w:cs="Arial"/>
        </w:rPr>
        <w:t>h</w:t>
      </w:r>
      <w:r>
        <w:rPr>
          <w:rFonts w:ascii="Arial" w:hAnsi="Arial" w:cs="Arial"/>
        </w:rPr>
        <w:t xml:space="preserve">ey </w:t>
      </w:r>
      <w:r w:rsidR="009B2AB9" w:rsidRPr="007D430C">
        <w:rPr>
          <w:rFonts w:ascii="Arial" w:hAnsi="Arial" w:cs="Arial"/>
        </w:rPr>
        <w:t xml:space="preserve">are likely to have an effect on the financial prospects of the </w:t>
      </w:r>
      <w:r w:rsidR="00CA4B20" w:rsidRPr="007D430C">
        <w:rPr>
          <w:rFonts w:ascii="Arial" w:hAnsi="Arial" w:cs="Arial"/>
        </w:rPr>
        <w:t>Corporation</w:t>
      </w:r>
      <w:r w:rsidR="009B2AB9" w:rsidRPr="007D430C">
        <w:rPr>
          <w:rFonts w:ascii="Arial" w:hAnsi="Arial" w:cs="Arial"/>
        </w:rPr>
        <w:t xml:space="preserve">, and how the </w:t>
      </w:r>
      <w:r w:rsidR="00CA4B20" w:rsidRPr="007D430C">
        <w:rPr>
          <w:rFonts w:ascii="Arial" w:hAnsi="Arial" w:cs="Arial"/>
        </w:rPr>
        <w:t>Corporation</w:t>
      </w:r>
      <w:r w:rsidR="009B2AB9" w:rsidRPr="007D430C">
        <w:rPr>
          <w:rFonts w:ascii="Arial" w:hAnsi="Arial" w:cs="Arial"/>
        </w:rPr>
        <w:t xml:space="preserve"> manages these risks include:</w:t>
      </w:r>
    </w:p>
    <w:p w:rsidR="00F004FC" w:rsidRDefault="00F004FC" w:rsidP="00F004FC">
      <w:pPr>
        <w:pStyle w:val="Heading4"/>
      </w:pPr>
      <w:r w:rsidRPr="00F004FC">
        <w:t>Delayed payments</w:t>
      </w:r>
      <w:r w:rsidR="009B2AB9" w:rsidRPr="00F004FC">
        <w:t xml:space="preserve"> from overseas markets</w:t>
      </w:r>
    </w:p>
    <w:p w:rsidR="009B2AB9" w:rsidRPr="00F004FC" w:rsidRDefault="00F004FC" w:rsidP="00F004FC">
      <w:pPr>
        <w:rPr>
          <w:rFonts w:ascii="Arial" w:hAnsi="Arial" w:cs="Arial"/>
        </w:rPr>
      </w:pPr>
      <w:r>
        <w:rPr>
          <w:rFonts w:ascii="Arial" w:hAnsi="Arial" w:cs="Arial"/>
        </w:rPr>
        <w:t>G</w:t>
      </w:r>
      <w:r w:rsidR="009B2AB9" w:rsidRPr="00F004FC">
        <w:rPr>
          <w:rFonts w:ascii="Arial" w:hAnsi="Arial" w:cs="Arial"/>
        </w:rPr>
        <w:t xml:space="preserve">iven our reliance on the United Kingdom, USA and other overseas markets, </w:t>
      </w:r>
      <w:r w:rsidRPr="00F004FC">
        <w:rPr>
          <w:rFonts w:ascii="Arial" w:hAnsi="Arial" w:cs="Arial"/>
        </w:rPr>
        <w:t xml:space="preserve">the issue of bond notes </w:t>
      </w:r>
      <w:r w:rsidR="009B2AB9" w:rsidRPr="00F004FC">
        <w:rPr>
          <w:rFonts w:ascii="Arial" w:hAnsi="Arial" w:cs="Arial"/>
        </w:rPr>
        <w:t xml:space="preserve">could have a significant impact on our financial results. Based on the views of prominent economic commentators, we do not anticipate any significant slowdown in these overseas </w:t>
      </w:r>
      <w:r w:rsidRPr="00F004FC">
        <w:rPr>
          <w:rFonts w:ascii="Arial" w:hAnsi="Arial" w:cs="Arial"/>
        </w:rPr>
        <w:t>economies</w:t>
      </w:r>
      <w:r w:rsidR="009B2AB9" w:rsidRPr="00F004FC">
        <w:rPr>
          <w:rFonts w:ascii="Arial" w:hAnsi="Arial" w:cs="Arial"/>
        </w:rPr>
        <w:t xml:space="preserve">, but are currently investigating the </w:t>
      </w:r>
      <w:r w:rsidRPr="00F004FC">
        <w:rPr>
          <w:rFonts w:ascii="Arial" w:hAnsi="Arial" w:cs="Arial"/>
        </w:rPr>
        <w:t>likely effects of the bond notes</w:t>
      </w:r>
      <w:r w:rsidR="009B2AB9" w:rsidRPr="00F004FC">
        <w:rPr>
          <w:rFonts w:ascii="Arial" w:hAnsi="Arial" w:cs="Arial"/>
        </w:rPr>
        <w:t>; and</w:t>
      </w:r>
    </w:p>
    <w:p w:rsidR="00F245B0" w:rsidRDefault="009B2AB9" w:rsidP="00F245B0">
      <w:pPr>
        <w:pStyle w:val="Heading4"/>
      </w:pPr>
      <w:r w:rsidRPr="00F245B0">
        <w:lastRenderedPageBreak/>
        <w:t>Technological obsolescence</w:t>
      </w:r>
    </w:p>
    <w:p w:rsidR="009B2AB9" w:rsidRPr="00F245B0" w:rsidRDefault="00F245B0" w:rsidP="00F245B0">
      <w:pPr>
        <w:rPr>
          <w:rFonts w:ascii="Arial" w:hAnsi="Arial" w:cs="Arial"/>
        </w:rPr>
      </w:pPr>
      <w:r>
        <w:rPr>
          <w:rFonts w:ascii="Arial" w:hAnsi="Arial" w:cs="Arial"/>
        </w:rPr>
        <w:t>G</w:t>
      </w:r>
      <w:r w:rsidR="009B2AB9" w:rsidRPr="00F245B0">
        <w:rPr>
          <w:rFonts w:ascii="Arial" w:hAnsi="Arial" w:cs="Arial"/>
        </w:rPr>
        <w:t xml:space="preserve">iven the rapidly changing environment in which the </w:t>
      </w:r>
      <w:r w:rsidR="00CA4B20" w:rsidRPr="00F245B0">
        <w:rPr>
          <w:rFonts w:ascii="Arial" w:hAnsi="Arial" w:cs="Arial"/>
        </w:rPr>
        <w:t xml:space="preserve">Corporation </w:t>
      </w:r>
      <w:r w:rsidR="009B2AB9" w:rsidRPr="00F245B0">
        <w:rPr>
          <w:rFonts w:ascii="Arial" w:hAnsi="Arial" w:cs="Arial"/>
        </w:rPr>
        <w:t>operates, this could have a very significant impact on our financial results. We address this risk through investment in research and development and by constantly monitoring the market. With competitors constantly seeking to enter our market with improved designs, we see this risk increasing in the future.</w:t>
      </w:r>
    </w:p>
    <w:p w:rsidR="007D430C" w:rsidRDefault="007D430C" w:rsidP="007D430C">
      <w:pPr>
        <w:rPr>
          <w:rFonts w:ascii="Arial" w:hAnsi="Arial" w:cs="Arial"/>
        </w:rPr>
      </w:pPr>
    </w:p>
    <w:p w:rsidR="00283DF7" w:rsidRDefault="00283DF7" w:rsidP="007962DD">
      <w:pPr>
        <w:pStyle w:val="Heading2"/>
      </w:pPr>
      <w:bookmarkStart w:id="10" w:name="_Toc467594177"/>
      <w:r>
        <w:t>Consolidated profit and loss account</w:t>
      </w:r>
      <w:r w:rsidR="007962DD">
        <w:t xml:space="preserve"> for the year ended 14 November 2016</w:t>
      </w:r>
      <w:bookmarkEnd w:id="10"/>
    </w:p>
    <w:tbl>
      <w:tblPr>
        <w:tblStyle w:val="TableGrid"/>
        <w:tblW w:w="0" w:type="auto"/>
        <w:tblLook w:val="04A0" w:firstRow="1" w:lastRow="0" w:firstColumn="1" w:lastColumn="0" w:noHBand="0" w:noVBand="1"/>
      </w:tblPr>
      <w:tblGrid>
        <w:gridCol w:w="5418"/>
        <w:gridCol w:w="1440"/>
        <w:gridCol w:w="1350"/>
        <w:gridCol w:w="1368"/>
      </w:tblGrid>
      <w:tr w:rsidR="004A7539" w:rsidTr="00C10A1A">
        <w:tc>
          <w:tcPr>
            <w:tcW w:w="5418" w:type="dxa"/>
          </w:tcPr>
          <w:p w:rsidR="004A7539" w:rsidRDefault="00C10A1A" w:rsidP="00C60A8B">
            <w:r>
              <w:t>Revenue</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60A8B">
            <w:r>
              <w:t>Other income</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60A8B">
            <w:r>
              <w:t>Changes in inventories</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60A8B">
            <w:r>
              <w:t>Cost of materials</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60A8B">
            <w:r>
              <w:t>Employee benefits expenses</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60A8B">
            <w:r>
              <w:t>Change in fair value of investment property</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A4B20">
            <w:r>
              <w:t>Depreciation o</w:t>
            </w:r>
            <w:r w:rsidR="00CA4B20">
              <w:t>f</w:t>
            </w:r>
            <w:r>
              <w:t xml:space="preserve"> property, plant and equipment </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4A7539" w:rsidTr="00C10A1A">
        <w:tc>
          <w:tcPr>
            <w:tcW w:w="5418" w:type="dxa"/>
          </w:tcPr>
          <w:p w:rsidR="004A7539" w:rsidRDefault="00C10A1A" w:rsidP="00C60A8B">
            <w:r>
              <w:t>Amortisation of intangible assets</w:t>
            </w:r>
          </w:p>
        </w:tc>
        <w:tc>
          <w:tcPr>
            <w:tcW w:w="1440" w:type="dxa"/>
          </w:tcPr>
          <w:p w:rsidR="004A7539" w:rsidRDefault="004A7539" w:rsidP="00C60A8B"/>
        </w:tc>
        <w:tc>
          <w:tcPr>
            <w:tcW w:w="1350" w:type="dxa"/>
          </w:tcPr>
          <w:p w:rsidR="004A7539" w:rsidRDefault="004A7539" w:rsidP="00C60A8B"/>
        </w:tc>
        <w:tc>
          <w:tcPr>
            <w:tcW w:w="1368" w:type="dxa"/>
          </w:tcPr>
          <w:p w:rsidR="004A7539" w:rsidRDefault="004A7539" w:rsidP="00C60A8B"/>
        </w:tc>
      </w:tr>
      <w:tr w:rsidR="00C10A1A" w:rsidTr="00C10A1A">
        <w:tc>
          <w:tcPr>
            <w:tcW w:w="5418" w:type="dxa"/>
          </w:tcPr>
          <w:p w:rsidR="00C10A1A" w:rsidRDefault="00C10A1A" w:rsidP="00C60A8B">
            <w:r>
              <w:t>Impairment of goodwill</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Impairment of other intangible assets</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Other expenses</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Share of net profit from associates and joint ventures accounted for using  the equity method</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Finance costs</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Finance income</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Other financial items</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Profit before income tax</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Income tax expense</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A4B20">
            <w:r>
              <w:t xml:space="preserve">Profit </w:t>
            </w:r>
            <w:r w:rsidR="00CA4B20">
              <w:t>for the yea</w:t>
            </w:r>
            <w:r>
              <w:t>r from continuing operations</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C10A1A" w:rsidTr="00C10A1A">
        <w:tc>
          <w:tcPr>
            <w:tcW w:w="5418" w:type="dxa"/>
          </w:tcPr>
          <w:p w:rsidR="00C10A1A" w:rsidRDefault="00C10A1A" w:rsidP="00C60A8B">
            <w:r>
              <w:t>Loss of the year from discounted operations</w:t>
            </w:r>
          </w:p>
        </w:tc>
        <w:tc>
          <w:tcPr>
            <w:tcW w:w="1440" w:type="dxa"/>
          </w:tcPr>
          <w:p w:rsidR="00C10A1A" w:rsidRDefault="00C10A1A" w:rsidP="00C60A8B"/>
        </w:tc>
        <w:tc>
          <w:tcPr>
            <w:tcW w:w="1350" w:type="dxa"/>
          </w:tcPr>
          <w:p w:rsidR="00C10A1A" w:rsidRDefault="00C10A1A" w:rsidP="00C60A8B"/>
        </w:tc>
        <w:tc>
          <w:tcPr>
            <w:tcW w:w="1368" w:type="dxa"/>
          </w:tcPr>
          <w:p w:rsidR="00C10A1A" w:rsidRDefault="00C10A1A" w:rsidP="00C60A8B"/>
        </w:tc>
      </w:tr>
      <w:tr w:rsidR="007D430C" w:rsidTr="007D430C">
        <w:trPr>
          <w:trHeight w:val="287"/>
        </w:trPr>
        <w:tc>
          <w:tcPr>
            <w:tcW w:w="9576" w:type="dxa"/>
            <w:gridSpan w:val="4"/>
          </w:tcPr>
          <w:p w:rsidR="007D430C" w:rsidRDefault="007D430C" w:rsidP="00C60A8B">
            <w:r>
              <w:t>Profit for the year</w:t>
            </w:r>
          </w:p>
        </w:tc>
      </w:tr>
    </w:tbl>
    <w:p w:rsidR="00F245B0" w:rsidRDefault="00F245B0" w:rsidP="007962DD">
      <w:pPr>
        <w:pStyle w:val="Heading2"/>
      </w:pPr>
    </w:p>
    <w:p w:rsidR="00F245B0" w:rsidRDefault="00F245B0" w:rsidP="00F245B0"/>
    <w:p w:rsidR="00F245B0" w:rsidRDefault="00F245B0" w:rsidP="00F245B0"/>
    <w:p w:rsidR="00F245B0" w:rsidRDefault="00F245B0" w:rsidP="00F245B0"/>
    <w:p w:rsidR="00F245B0" w:rsidRDefault="00F245B0" w:rsidP="00F245B0"/>
    <w:p w:rsidR="00F245B0" w:rsidRDefault="00F245B0" w:rsidP="00F245B0"/>
    <w:p w:rsidR="007962DD" w:rsidRDefault="007962DD" w:rsidP="007962DD">
      <w:pPr>
        <w:pStyle w:val="Heading2"/>
      </w:pPr>
      <w:bookmarkStart w:id="11" w:name="_Toc467594178"/>
      <w:r>
        <w:lastRenderedPageBreak/>
        <w:t>Consolidated Statement of Financial Position as at 14 November 2016</w:t>
      </w:r>
      <w:bookmarkEnd w:id="11"/>
    </w:p>
    <w:tbl>
      <w:tblPr>
        <w:tblStyle w:val="TableGrid"/>
        <w:tblW w:w="0" w:type="auto"/>
        <w:tblLook w:val="04A0" w:firstRow="1" w:lastRow="0" w:firstColumn="1" w:lastColumn="0" w:noHBand="0" w:noVBand="1"/>
      </w:tblPr>
      <w:tblGrid>
        <w:gridCol w:w="5508"/>
        <w:gridCol w:w="1350"/>
        <w:gridCol w:w="1350"/>
        <w:gridCol w:w="1368"/>
      </w:tblGrid>
      <w:tr w:rsidR="004A7539" w:rsidTr="004A7539">
        <w:tc>
          <w:tcPr>
            <w:tcW w:w="5508" w:type="dxa"/>
            <w:vMerge w:val="restart"/>
          </w:tcPr>
          <w:p w:rsidR="004A7539" w:rsidRDefault="004A7539" w:rsidP="007962DD"/>
        </w:tc>
        <w:tc>
          <w:tcPr>
            <w:tcW w:w="4068" w:type="dxa"/>
            <w:gridSpan w:val="3"/>
          </w:tcPr>
          <w:p w:rsidR="004A7539" w:rsidRDefault="004A7539" w:rsidP="00656EE3">
            <w:r>
              <w:t>14 November</w:t>
            </w:r>
          </w:p>
        </w:tc>
      </w:tr>
      <w:tr w:rsidR="004A7539" w:rsidTr="004A7539">
        <w:tc>
          <w:tcPr>
            <w:tcW w:w="5508" w:type="dxa"/>
            <w:vMerge/>
          </w:tcPr>
          <w:p w:rsidR="004A7539" w:rsidRDefault="004A7539" w:rsidP="007962DD"/>
        </w:tc>
        <w:tc>
          <w:tcPr>
            <w:tcW w:w="1350" w:type="dxa"/>
          </w:tcPr>
          <w:p w:rsidR="004A7539" w:rsidRDefault="004A7539" w:rsidP="00656EE3">
            <w:r>
              <w:t>2014</w:t>
            </w:r>
          </w:p>
        </w:tc>
        <w:tc>
          <w:tcPr>
            <w:tcW w:w="1350" w:type="dxa"/>
          </w:tcPr>
          <w:p w:rsidR="004A7539" w:rsidRDefault="004A7539" w:rsidP="00656EE3">
            <w:r>
              <w:t>2015</w:t>
            </w:r>
          </w:p>
        </w:tc>
        <w:tc>
          <w:tcPr>
            <w:tcW w:w="1368" w:type="dxa"/>
          </w:tcPr>
          <w:p w:rsidR="004A7539" w:rsidRDefault="004A7539" w:rsidP="00656EE3">
            <w:r>
              <w:t>2016</w:t>
            </w:r>
          </w:p>
        </w:tc>
      </w:tr>
      <w:tr w:rsidR="004A7539" w:rsidTr="004A7539">
        <w:tc>
          <w:tcPr>
            <w:tcW w:w="5508" w:type="dxa"/>
          </w:tcPr>
          <w:p w:rsidR="004A7539" w:rsidRDefault="00CA4B20" w:rsidP="007962DD">
            <w:r>
              <w:t>A</w:t>
            </w:r>
            <w:r w:rsidR="004A7539">
              <w:t>ssets</w:t>
            </w:r>
          </w:p>
        </w:tc>
        <w:tc>
          <w:tcPr>
            <w:tcW w:w="1350" w:type="dxa"/>
          </w:tcPr>
          <w:p w:rsidR="004A7539" w:rsidRDefault="004A7539" w:rsidP="00570ABC"/>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Current</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Cash and cash equivalents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Trade and other receivables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CA4B20">
            <w:r>
              <w:t>Other short-term financial asse</w:t>
            </w:r>
            <w:r w:rsidR="00CA4B20">
              <w:t>t</w:t>
            </w:r>
            <w:r>
              <w:t xml:space="preserve">s </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Inventories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Derivative financial instruments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CA4B20">
            <w:r>
              <w:t>Current tax ass</w:t>
            </w:r>
            <w:r w:rsidR="00CA4B20">
              <w:t>et</w:t>
            </w:r>
            <w:r>
              <w: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Assets and disposal group classified as held for sale</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 xml:space="preserve">Total </w:t>
            </w:r>
            <w:r w:rsidR="00CA4B20">
              <w:t>curr</w:t>
            </w:r>
            <w:r>
              <w:t>ent assets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Non-current</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Investments accounted for using the equity method</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Property, plant and equipment</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Investment property</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Other long –term financial assets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Deferred tax assets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Goodwill</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Other tangible assets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Total non-current assets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r w:rsidR="004A7539" w:rsidTr="004A7539">
        <w:tc>
          <w:tcPr>
            <w:tcW w:w="5508" w:type="dxa"/>
          </w:tcPr>
          <w:p w:rsidR="004A7539" w:rsidRDefault="004A7539" w:rsidP="007962DD">
            <w:r>
              <w:t>Total assets</w:t>
            </w:r>
          </w:p>
        </w:tc>
        <w:tc>
          <w:tcPr>
            <w:tcW w:w="1350" w:type="dxa"/>
          </w:tcPr>
          <w:p w:rsidR="004A7539" w:rsidRDefault="004A7539" w:rsidP="007962DD"/>
        </w:tc>
        <w:tc>
          <w:tcPr>
            <w:tcW w:w="1350" w:type="dxa"/>
          </w:tcPr>
          <w:p w:rsidR="004A7539" w:rsidRDefault="004A7539" w:rsidP="007962DD"/>
        </w:tc>
        <w:tc>
          <w:tcPr>
            <w:tcW w:w="1368" w:type="dxa"/>
          </w:tcPr>
          <w:p w:rsidR="004A7539" w:rsidRDefault="004A7539" w:rsidP="007962DD"/>
        </w:tc>
      </w:tr>
    </w:tbl>
    <w:p w:rsidR="00F245B0" w:rsidRDefault="00F245B0" w:rsidP="00E8089D">
      <w:pPr>
        <w:pStyle w:val="Heading2"/>
      </w:pPr>
    </w:p>
    <w:p w:rsidR="00F245B0" w:rsidRDefault="00F245B0" w:rsidP="00E8089D">
      <w:pPr>
        <w:pStyle w:val="Heading2"/>
      </w:pPr>
    </w:p>
    <w:p w:rsidR="00F245B0" w:rsidRDefault="00F245B0" w:rsidP="00E8089D">
      <w:pPr>
        <w:pStyle w:val="Heading2"/>
      </w:pPr>
    </w:p>
    <w:p w:rsidR="00F245B0" w:rsidRDefault="00F245B0" w:rsidP="00E8089D">
      <w:pPr>
        <w:pStyle w:val="Heading2"/>
      </w:pPr>
    </w:p>
    <w:p w:rsidR="00F245B0" w:rsidRDefault="00F245B0" w:rsidP="00E8089D">
      <w:pPr>
        <w:pStyle w:val="Heading2"/>
      </w:pPr>
    </w:p>
    <w:p w:rsidR="00F245B0" w:rsidRDefault="00F245B0" w:rsidP="00E8089D">
      <w:pPr>
        <w:pStyle w:val="Heading2"/>
      </w:pPr>
    </w:p>
    <w:p w:rsidR="00F245B0" w:rsidRDefault="00F245B0" w:rsidP="00F245B0"/>
    <w:p w:rsidR="00F245B0" w:rsidRDefault="00F245B0" w:rsidP="00F245B0"/>
    <w:p w:rsidR="00F245B0" w:rsidRDefault="00F245B0" w:rsidP="00F245B0"/>
    <w:p w:rsidR="00F245B0" w:rsidRDefault="00F245B0" w:rsidP="00F245B0"/>
    <w:p w:rsidR="00E8089D" w:rsidRDefault="00E8089D" w:rsidP="00E8089D">
      <w:pPr>
        <w:pStyle w:val="Heading2"/>
      </w:pPr>
      <w:bookmarkStart w:id="12" w:name="_Toc467594179"/>
      <w:r>
        <w:lastRenderedPageBreak/>
        <w:t>Consolidated Statement of Financial Position as at 30 June 2016</w:t>
      </w:r>
      <w:bookmarkEnd w:id="12"/>
    </w:p>
    <w:tbl>
      <w:tblPr>
        <w:tblStyle w:val="TableGrid"/>
        <w:tblW w:w="0" w:type="auto"/>
        <w:tblLook w:val="04A0" w:firstRow="1" w:lastRow="0" w:firstColumn="1" w:lastColumn="0" w:noHBand="0" w:noVBand="1"/>
      </w:tblPr>
      <w:tblGrid>
        <w:gridCol w:w="5508"/>
        <w:gridCol w:w="1350"/>
        <w:gridCol w:w="1350"/>
        <w:gridCol w:w="1368"/>
      </w:tblGrid>
      <w:tr w:rsidR="004A7539" w:rsidTr="004A7539">
        <w:tc>
          <w:tcPr>
            <w:tcW w:w="5508" w:type="dxa"/>
            <w:vMerge w:val="restart"/>
          </w:tcPr>
          <w:p w:rsidR="004A7539" w:rsidRDefault="004A7539" w:rsidP="00E8089D"/>
        </w:tc>
        <w:tc>
          <w:tcPr>
            <w:tcW w:w="4068" w:type="dxa"/>
            <w:gridSpan w:val="3"/>
          </w:tcPr>
          <w:p w:rsidR="004A7539" w:rsidRDefault="004A7539" w:rsidP="00E8089D">
            <w:r>
              <w:t xml:space="preserve">14 November </w:t>
            </w:r>
          </w:p>
        </w:tc>
      </w:tr>
      <w:tr w:rsidR="004A7539" w:rsidTr="004A7539">
        <w:tc>
          <w:tcPr>
            <w:tcW w:w="5508" w:type="dxa"/>
            <w:vMerge/>
          </w:tcPr>
          <w:p w:rsidR="004A7539" w:rsidRDefault="004A7539" w:rsidP="00E8089D"/>
        </w:tc>
        <w:tc>
          <w:tcPr>
            <w:tcW w:w="1350" w:type="dxa"/>
          </w:tcPr>
          <w:p w:rsidR="004A7539" w:rsidRDefault="004A7539" w:rsidP="00E8089D">
            <w:r>
              <w:t>2014</w:t>
            </w:r>
          </w:p>
        </w:tc>
        <w:tc>
          <w:tcPr>
            <w:tcW w:w="1350" w:type="dxa"/>
          </w:tcPr>
          <w:p w:rsidR="004A7539" w:rsidRDefault="004A7539" w:rsidP="00E8089D">
            <w:r>
              <w:t>2015</w:t>
            </w:r>
          </w:p>
        </w:tc>
        <w:tc>
          <w:tcPr>
            <w:tcW w:w="1368" w:type="dxa"/>
          </w:tcPr>
          <w:p w:rsidR="004A7539" w:rsidRDefault="004A7539" w:rsidP="00E8089D">
            <w:r>
              <w:t>2016</w:t>
            </w:r>
          </w:p>
        </w:tc>
      </w:tr>
      <w:tr w:rsidR="00EB2722" w:rsidTr="004A7539">
        <w:tc>
          <w:tcPr>
            <w:tcW w:w="5508" w:type="dxa"/>
          </w:tcPr>
          <w:p w:rsidR="00EB2722" w:rsidRDefault="00EB2722" w:rsidP="00E8089D">
            <w:r>
              <w:t>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Current</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Trade &amp; other payables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Borrowings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Derivative financial instruments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Provisions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Employee benefits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Current tax 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Liabilities included in disposal group held sale</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C</w:t>
            </w:r>
            <w:r w:rsidR="003B098F">
              <w:t>urr</w:t>
            </w:r>
            <w:r>
              <w:t>ent 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Non-current</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Trade and other payables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Borrowings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Employee benefits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Deferred tax 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Other 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Total non-current 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Total liabilities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Net assets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CA4B20" w:rsidP="00E8089D">
            <w:r>
              <w:t>E</w:t>
            </w:r>
            <w:r w:rsidR="00EB2722">
              <w:t>quity</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8089D">
            <w:r>
              <w:t>Equity attributable to owners of the parent:</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EB2722" w:rsidP="00EB2722">
            <w:pPr>
              <w:pStyle w:val="ListParagraph"/>
              <w:numPr>
                <w:ilvl w:val="0"/>
                <w:numId w:val="1"/>
              </w:numPr>
            </w:pPr>
            <w:r>
              <w:t>Share capital</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1C27D1" w:rsidP="00EB2722">
            <w:pPr>
              <w:pStyle w:val="ListParagraph"/>
              <w:numPr>
                <w:ilvl w:val="0"/>
                <w:numId w:val="1"/>
              </w:numPr>
            </w:pPr>
            <w:r>
              <w:t>Share option reserve</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1C27D1" w:rsidP="001C27D1">
            <w:pPr>
              <w:pStyle w:val="ListParagraph"/>
              <w:numPr>
                <w:ilvl w:val="0"/>
                <w:numId w:val="1"/>
              </w:numPr>
            </w:pPr>
            <w:r>
              <w:t>Other components of equity</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EB2722" w:rsidTr="004A7539">
        <w:tc>
          <w:tcPr>
            <w:tcW w:w="5508" w:type="dxa"/>
          </w:tcPr>
          <w:p w:rsidR="00EB2722" w:rsidRDefault="001C27D1" w:rsidP="001C27D1">
            <w:pPr>
              <w:pStyle w:val="ListParagraph"/>
              <w:numPr>
                <w:ilvl w:val="0"/>
                <w:numId w:val="1"/>
              </w:numPr>
            </w:pPr>
            <w:r>
              <w:t>Retained earnings</w:t>
            </w:r>
          </w:p>
        </w:tc>
        <w:tc>
          <w:tcPr>
            <w:tcW w:w="1350" w:type="dxa"/>
          </w:tcPr>
          <w:p w:rsidR="00EB2722" w:rsidRDefault="00EB2722" w:rsidP="00E8089D"/>
        </w:tc>
        <w:tc>
          <w:tcPr>
            <w:tcW w:w="1350" w:type="dxa"/>
          </w:tcPr>
          <w:p w:rsidR="00EB2722" w:rsidRDefault="00EB2722" w:rsidP="00E8089D"/>
        </w:tc>
        <w:tc>
          <w:tcPr>
            <w:tcW w:w="1368" w:type="dxa"/>
          </w:tcPr>
          <w:p w:rsidR="00EB2722" w:rsidRDefault="00EB2722" w:rsidP="00E8089D"/>
        </w:tc>
      </w:tr>
      <w:tr w:rsidR="001C27D1" w:rsidTr="004A7539">
        <w:tc>
          <w:tcPr>
            <w:tcW w:w="5508" w:type="dxa"/>
          </w:tcPr>
          <w:p w:rsidR="001C27D1" w:rsidRDefault="001C27D1" w:rsidP="001C27D1">
            <w:r>
              <w:t>Non-controlling interest</w:t>
            </w:r>
          </w:p>
        </w:tc>
        <w:tc>
          <w:tcPr>
            <w:tcW w:w="1350" w:type="dxa"/>
          </w:tcPr>
          <w:p w:rsidR="001C27D1" w:rsidRDefault="001C27D1" w:rsidP="00E8089D"/>
        </w:tc>
        <w:tc>
          <w:tcPr>
            <w:tcW w:w="1350" w:type="dxa"/>
          </w:tcPr>
          <w:p w:rsidR="001C27D1" w:rsidRDefault="001C27D1" w:rsidP="00E8089D"/>
        </w:tc>
        <w:tc>
          <w:tcPr>
            <w:tcW w:w="1368" w:type="dxa"/>
          </w:tcPr>
          <w:p w:rsidR="001C27D1" w:rsidRDefault="001C27D1" w:rsidP="00E8089D"/>
        </w:tc>
      </w:tr>
      <w:tr w:rsidR="001C27D1" w:rsidTr="004A7539">
        <w:tc>
          <w:tcPr>
            <w:tcW w:w="5508" w:type="dxa"/>
          </w:tcPr>
          <w:p w:rsidR="001C27D1" w:rsidRDefault="001C27D1" w:rsidP="001C27D1">
            <w:r>
              <w:t>Total equity</w:t>
            </w:r>
          </w:p>
        </w:tc>
        <w:tc>
          <w:tcPr>
            <w:tcW w:w="1350" w:type="dxa"/>
          </w:tcPr>
          <w:p w:rsidR="001C27D1" w:rsidRDefault="001C27D1" w:rsidP="00E8089D"/>
        </w:tc>
        <w:tc>
          <w:tcPr>
            <w:tcW w:w="1350" w:type="dxa"/>
          </w:tcPr>
          <w:p w:rsidR="001C27D1" w:rsidRDefault="001C27D1" w:rsidP="00E8089D"/>
        </w:tc>
        <w:tc>
          <w:tcPr>
            <w:tcW w:w="1368" w:type="dxa"/>
          </w:tcPr>
          <w:p w:rsidR="001C27D1" w:rsidRDefault="001C27D1" w:rsidP="00E8089D"/>
        </w:tc>
      </w:tr>
    </w:tbl>
    <w:p w:rsidR="003B1E57" w:rsidRDefault="003B1E57" w:rsidP="00B71075"/>
    <w:p w:rsidR="0087530D" w:rsidRDefault="0087530D" w:rsidP="00B71075"/>
    <w:p w:rsidR="0087530D" w:rsidRDefault="0087530D" w:rsidP="00B71075"/>
    <w:p w:rsidR="0087530D" w:rsidRDefault="0087530D" w:rsidP="00B71075"/>
    <w:p w:rsidR="0087530D" w:rsidRDefault="0087530D" w:rsidP="00B71075"/>
    <w:p w:rsidR="0087530D" w:rsidRDefault="0087530D" w:rsidP="00B71075"/>
    <w:p w:rsidR="00DD4DA6" w:rsidRDefault="00DD4DA6" w:rsidP="00075758">
      <w:pPr>
        <w:pStyle w:val="Heading2"/>
      </w:pPr>
      <w:bookmarkStart w:id="13" w:name="_Toc467594180"/>
      <w:r>
        <w:lastRenderedPageBreak/>
        <w:t>Capital management policies and procedures</w:t>
      </w:r>
      <w:bookmarkEnd w:id="13"/>
    </w:p>
    <w:p w:rsidR="00CA4B20" w:rsidRPr="007D430C" w:rsidRDefault="00CA4B20" w:rsidP="00DD4DA6">
      <w:pPr>
        <w:rPr>
          <w:rFonts w:ascii="Arial" w:hAnsi="Arial" w:cs="Arial"/>
        </w:rPr>
      </w:pPr>
      <w:r w:rsidRPr="007D430C">
        <w:rPr>
          <w:rFonts w:ascii="Arial" w:hAnsi="Arial" w:cs="Arial"/>
        </w:rPr>
        <w:t>The Corporation</w:t>
      </w:r>
      <w:r w:rsidR="00DD4DA6" w:rsidRPr="007D430C">
        <w:rPr>
          <w:rFonts w:ascii="Arial" w:hAnsi="Arial" w:cs="Arial"/>
        </w:rPr>
        <w:t>’s cap</w:t>
      </w:r>
      <w:r w:rsidRPr="007D430C">
        <w:rPr>
          <w:rFonts w:ascii="Arial" w:hAnsi="Arial" w:cs="Arial"/>
        </w:rPr>
        <w:t>ital management objectives are:</w:t>
      </w:r>
    </w:p>
    <w:p w:rsidR="00DD4DA6" w:rsidRPr="007D430C" w:rsidRDefault="00CA4B20" w:rsidP="00CA4B20">
      <w:pPr>
        <w:pStyle w:val="ListParagraph"/>
        <w:numPr>
          <w:ilvl w:val="0"/>
          <w:numId w:val="7"/>
        </w:numPr>
        <w:rPr>
          <w:rFonts w:ascii="Arial" w:hAnsi="Arial" w:cs="Arial"/>
        </w:rPr>
      </w:pPr>
      <w:r w:rsidRPr="007D430C">
        <w:rPr>
          <w:rFonts w:ascii="Arial" w:hAnsi="Arial" w:cs="Arial"/>
        </w:rPr>
        <w:t>to ensure the Corporation</w:t>
      </w:r>
      <w:r w:rsidR="00DD4DA6" w:rsidRPr="007D430C">
        <w:rPr>
          <w:rFonts w:ascii="Arial" w:hAnsi="Arial" w:cs="Arial"/>
        </w:rPr>
        <w:t>’s ability to continue as a going concern; and</w:t>
      </w:r>
    </w:p>
    <w:p w:rsidR="00DD4DA6" w:rsidRPr="007D430C" w:rsidRDefault="00856DE3" w:rsidP="00DD4DA6">
      <w:pPr>
        <w:pStyle w:val="ListParagraph"/>
        <w:numPr>
          <w:ilvl w:val="0"/>
          <w:numId w:val="7"/>
        </w:numPr>
        <w:rPr>
          <w:rFonts w:ascii="Arial" w:hAnsi="Arial" w:cs="Arial"/>
        </w:rPr>
      </w:pPr>
      <w:r w:rsidRPr="007D430C">
        <w:rPr>
          <w:rFonts w:ascii="Arial" w:hAnsi="Arial" w:cs="Arial"/>
        </w:rPr>
        <w:t>To</w:t>
      </w:r>
      <w:r w:rsidR="00DD4DA6" w:rsidRPr="007D430C">
        <w:rPr>
          <w:rFonts w:ascii="Arial" w:hAnsi="Arial" w:cs="Arial"/>
        </w:rPr>
        <w:t xml:space="preserve"> provide an adequate return to shareholders</w:t>
      </w:r>
      <w:r w:rsidR="00CA4B20" w:rsidRPr="007D430C">
        <w:rPr>
          <w:rFonts w:ascii="Arial" w:hAnsi="Arial" w:cs="Arial"/>
        </w:rPr>
        <w:t xml:space="preserve"> </w:t>
      </w:r>
      <w:r w:rsidR="00DD4DA6" w:rsidRPr="007D430C">
        <w:rPr>
          <w:rFonts w:ascii="Arial" w:hAnsi="Arial" w:cs="Arial"/>
        </w:rPr>
        <w:t>by pricing products and services commensurately with the level of risk.</w:t>
      </w:r>
    </w:p>
    <w:p w:rsidR="00DD4DA6" w:rsidRPr="007D430C" w:rsidRDefault="00CA4B20" w:rsidP="00DD4DA6">
      <w:pPr>
        <w:rPr>
          <w:rFonts w:ascii="Arial" w:hAnsi="Arial" w:cs="Arial"/>
        </w:rPr>
      </w:pPr>
      <w:r w:rsidRPr="007D430C">
        <w:rPr>
          <w:rFonts w:ascii="Arial" w:hAnsi="Arial" w:cs="Arial"/>
        </w:rPr>
        <w:t>The Corporation</w:t>
      </w:r>
      <w:r w:rsidR="00DD4DA6" w:rsidRPr="007D430C">
        <w:rPr>
          <w:rFonts w:ascii="Arial" w:hAnsi="Arial" w:cs="Arial"/>
        </w:rPr>
        <w:t xml:space="preserve"> monitors capital on the basis of the carrying amount of equity plus its subordinated loan, less cash and cash equivalents as presented on the face of the statement of financial position and cash flow hedges recognised in other comprehensive income.</w:t>
      </w:r>
    </w:p>
    <w:p w:rsidR="003B1E57" w:rsidRPr="007D430C" w:rsidRDefault="00CA4B20" w:rsidP="00DD4DA6">
      <w:pPr>
        <w:rPr>
          <w:rFonts w:ascii="Arial" w:hAnsi="Arial" w:cs="Arial"/>
        </w:rPr>
      </w:pPr>
      <w:r w:rsidRPr="007D430C">
        <w:rPr>
          <w:rFonts w:ascii="Arial" w:hAnsi="Arial" w:cs="Arial"/>
        </w:rPr>
        <w:t>The Corporation</w:t>
      </w:r>
      <w:r w:rsidR="00DD4DA6" w:rsidRPr="007D430C">
        <w:rPr>
          <w:rFonts w:ascii="Arial" w:hAnsi="Arial" w:cs="Arial"/>
        </w:rPr>
        <w:t xml:space="preserve">’s goal in capital management is to maintain a capital-to-overall financing ratio of 1:6 to 1:4. This is in line with the </w:t>
      </w:r>
      <w:r w:rsidRPr="007D430C">
        <w:rPr>
          <w:rFonts w:ascii="Arial" w:hAnsi="Arial" w:cs="Arial"/>
        </w:rPr>
        <w:t>Corporation</w:t>
      </w:r>
      <w:r w:rsidR="00DD4DA6" w:rsidRPr="007D430C">
        <w:rPr>
          <w:rFonts w:ascii="Arial" w:hAnsi="Arial" w:cs="Arial"/>
        </w:rPr>
        <w:t>’s covenants resulting from the subordinated loan it has taken out from its main shareholder in 2013.</w:t>
      </w:r>
    </w:p>
    <w:p w:rsidR="00BC3037" w:rsidRDefault="00BC3037" w:rsidP="00BC3037">
      <w:pPr>
        <w:pStyle w:val="Heading2"/>
      </w:pPr>
      <w:bookmarkStart w:id="14" w:name="_Toc467594181"/>
      <w:r>
        <w:t>Directors’ Declaration</w:t>
      </w:r>
      <w:bookmarkEnd w:id="14"/>
    </w:p>
    <w:p w:rsidR="00BC3037" w:rsidRPr="007D430C" w:rsidRDefault="00BC3037" w:rsidP="00CA4B20">
      <w:pPr>
        <w:pStyle w:val="ListParagraph"/>
        <w:numPr>
          <w:ilvl w:val="0"/>
          <w:numId w:val="2"/>
        </w:numPr>
        <w:rPr>
          <w:rFonts w:ascii="Arial" w:hAnsi="Arial" w:cs="Arial"/>
        </w:rPr>
      </w:pPr>
      <w:r w:rsidRPr="007D430C">
        <w:rPr>
          <w:rFonts w:ascii="Arial" w:hAnsi="Arial" w:cs="Arial"/>
        </w:rPr>
        <w:t xml:space="preserve">In the opinion of the Directors of </w:t>
      </w:r>
      <w:r w:rsidR="00CA4B20" w:rsidRPr="007D430C">
        <w:rPr>
          <w:rFonts w:ascii="Arial" w:hAnsi="Arial" w:cs="Arial"/>
        </w:rPr>
        <w:t>F.E.A.R CORPORATIO</w:t>
      </w:r>
      <w:r w:rsidR="00C10A1A" w:rsidRPr="007D430C">
        <w:rPr>
          <w:rFonts w:ascii="Arial" w:hAnsi="Arial" w:cs="Arial"/>
        </w:rPr>
        <w:t>N</w:t>
      </w:r>
      <w:r w:rsidR="00CA4B20" w:rsidRPr="007D430C">
        <w:rPr>
          <w:rFonts w:ascii="Arial" w:hAnsi="Arial" w:cs="Arial"/>
        </w:rPr>
        <w:t>:</w:t>
      </w:r>
    </w:p>
    <w:p w:rsidR="00CA4B20" w:rsidRPr="007D430C" w:rsidRDefault="00BC3037" w:rsidP="00BC3037">
      <w:pPr>
        <w:pStyle w:val="ListParagraph"/>
        <w:numPr>
          <w:ilvl w:val="0"/>
          <w:numId w:val="5"/>
        </w:numPr>
        <w:rPr>
          <w:rFonts w:ascii="Arial" w:hAnsi="Arial" w:cs="Arial"/>
        </w:rPr>
      </w:pPr>
      <w:r w:rsidRPr="007D430C">
        <w:rPr>
          <w:rFonts w:ascii="Arial" w:hAnsi="Arial" w:cs="Arial"/>
        </w:rPr>
        <w:t xml:space="preserve">The consolidated financial statements and notes of </w:t>
      </w:r>
      <w:r w:rsidR="00C10A1A" w:rsidRPr="007D430C">
        <w:rPr>
          <w:rFonts w:ascii="Arial" w:hAnsi="Arial" w:cs="Arial"/>
        </w:rPr>
        <w:t>F.E.A.R CORPORATION</w:t>
      </w:r>
      <w:r w:rsidRPr="007D430C">
        <w:rPr>
          <w:rFonts w:ascii="Arial" w:hAnsi="Arial" w:cs="Arial"/>
        </w:rPr>
        <w:t xml:space="preserve"> are in accordance with the Corporations Act 2001, including:</w:t>
      </w:r>
    </w:p>
    <w:p w:rsidR="00CA4B20" w:rsidRPr="007D430C" w:rsidRDefault="00BC3037" w:rsidP="00BC3037">
      <w:pPr>
        <w:pStyle w:val="ListParagraph"/>
        <w:numPr>
          <w:ilvl w:val="0"/>
          <w:numId w:val="6"/>
        </w:numPr>
        <w:rPr>
          <w:rFonts w:ascii="Arial" w:hAnsi="Arial" w:cs="Arial"/>
        </w:rPr>
      </w:pPr>
      <w:r w:rsidRPr="007D430C">
        <w:rPr>
          <w:rFonts w:ascii="Arial" w:hAnsi="Arial" w:cs="Arial"/>
        </w:rPr>
        <w:t>Giving a true and fair view of its financial position as at 30 June 2016 and of its performance for the financial year ended on that date; and</w:t>
      </w:r>
    </w:p>
    <w:p w:rsidR="00BC3037" w:rsidRPr="007D430C" w:rsidRDefault="00BC3037" w:rsidP="00BC3037">
      <w:pPr>
        <w:pStyle w:val="ListParagraph"/>
        <w:numPr>
          <w:ilvl w:val="0"/>
          <w:numId w:val="6"/>
        </w:numPr>
        <w:rPr>
          <w:rFonts w:ascii="Arial" w:hAnsi="Arial" w:cs="Arial"/>
        </w:rPr>
      </w:pPr>
      <w:r w:rsidRPr="007D430C">
        <w:rPr>
          <w:rFonts w:ascii="Arial" w:hAnsi="Arial" w:cs="Arial"/>
        </w:rPr>
        <w:t>Complying with Australian Accounting Standards (including the Australian Accounting Interpretations) and the Corporations Regulations 2001; and</w:t>
      </w:r>
    </w:p>
    <w:p w:rsidR="00BC3037" w:rsidRPr="007D430C" w:rsidRDefault="00BC3037" w:rsidP="00CA4B20">
      <w:pPr>
        <w:pStyle w:val="ListParagraph"/>
        <w:numPr>
          <w:ilvl w:val="0"/>
          <w:numId w:val="5"/>
        </w:numPr>
        <w:rPr>
          <w:rFonts w:ascii="Arial" w:hAnsi="Arial" w:cs="Arial"/>
        </w:rPr>
      </w:pPr>
      <w:r w:rsidRPr="007D430C">
        <w:rPr>
          <w:rFonts w:ascii="Arial" w:hAnsi="Arial" w:cs="Arial"/>
        </w:rPr>
        <w:t>There are rea</w:t>
      </w:r>
      <w:r w:rsidR="00CA4B20" w:rsidRPr="007D430C">
        <w:rPr>
          <w:rFonts w:ascii="Arial" w:hAnsi="Arial" w:cs="Arial"/>
        </w:rPr>
        <w:t>sonable grounds to believe that</w:t>
      </w:r>
      <w:r w:rsidRPr="007D430C">
        <w:rPr>
          <w:rFonts w:ascii="Arial" w:hAnsi="Arial" w:cs="Arial"/>
        </w:rPr>
        <w:t xml:space="preserve"> </w:t>
      </w:r>
      <w:r w:rsidR="00C10A1A" w:rsidRPr="007D430C">
        <w:rPr>
          <w:rFonts w:ascii="Arial" w:hAnsi="Arial" w:cs="Arial"/>
        </w:rPr>
        <w:t>F.E.A.R CORPORATION</w:t>
      </w:r>
      <w:r w:rsidRPr="007D430C">
        <w:rPr>
          <w:rFonts w:ascii="Arial" w:hAnsi="Arial" w:cs="Arial"/>
        </w:rPr>
        <w:t xml:space="preserve"> will be able</w:t>
      </w:r>
      <w:r w:rsidR="008178A7">
        <w:rPr>
          <w:rFonts w:ascii="Arial" w:hAnsi="Arial" w:cs="Arial"/>
        </w:rPr>
        <w:t xml:space="preserve"> to</w:t>
      </w:r>
      <w:r w:rsidRPr="007D430C">
        <w:rPr>
          <w:rFonts w:ascii="Arial" w:hAnsi="Arial" w:cs="Arial"/>
        </w:rPr>
        <w:t xml:space="preserve"> pay its debts as and when they become due and payable.</w:t>
      </w:r>
    </w:p>
    <w:p w:rsidR="00BC3037" w:rsidRPr="007D430C" w:rsidRDefault="00BC3037" w:rsidP="00CA4B20">
      <w:pPr>
        <w:pStyle w:val="ListParagraph"/>
        <w:numPr>
          <w:ilvl w:val="0"/>
          <w:numId w:val="2"/>
        </w:numPr>
        <w:rPr>
          <w:rFonts w:ascii="Arial" w:hAnsi="Arial" w:cs="Arial"/>
        </w:rPr>
      </w:pPr>
      <w:r w:rsidRPr="007D430C">
        <w:rPr>
          <w:rFonts w:ascii="Arial" w:hAnsi="Arial" w:cs="Arial"/>
        </w:rPr>
        <w:t>The Directors have been given the declarations required by Section 295A of the Corporations Act 2001 from the Chief Executive Officer and Chief Financial Officer</w:t>
      </w:r>
      <w:r w:rsidR="00CA4B20" w:rsidRPr="007D430C">
        <w:rPr>
          <w:rFonts w:ascii="Arial" w:hAnsi="Arial" w:cs="Arial"/>
        </w:rPr>
        <w:t xml:space="preserve"> for the financial year ended 14 November </w:t>
      </w:r>
      <w:r w:rsidRPr="007D430C">
        <w:rPr>
          <w:rFonts w:ascii="Arial" w:hAnsi="Arial" w:cs="Arial"/>
        </w:rPr>
        <w:t>2016.</w:t>
      </w:r>
    </w:p>
    <w:p w:rsidR="00BC3037" w:rsidRPr="007D430C" w:rsidRDefault="00BC3037" w:rsidP="00CA4B20">
      <w:pPr>
        <w:pStyle w:val="ListParagraph"/>
        <w:numPr>
          <w:ilvl w:val="0"/>
          <w:numId w:val="2"/>
        </w:numPr>
        <w:rPr>
          <w:rFonts w:ascii="Arial" w:hAnsi="Arial" w:cs="Arial"/>
        </w:rPr>
      </w:pPr>
      <w:r w:rsidRPr="00E6220C">
        <w:rPr>
          <w:rFonts w:ascii="Arial" w:hAnsi="Arial" w:cs="Arial"/>
          <w:i/>
        </w:rPr>
        <w:t>Note 2</w:t>
      </w:r>
      <w:r w:rsidRPr="007D430C">
        <w:rPr>
          <w:rFonts w:ascii="Arial" w:hAnsi="Arial" w:cs="Arial"/>
        </w:rPr>
        <w:t xml:space="preserve"> confirms that the consolidated financial statements also comply with International Financial Reporting Standards.</w:t>
      </w:r>
    </w:p>
    <w:p w:rsidR="00BC3037" w:rsidRPr="007D430C" w:rsidRDefault="00BC3037" w:rsidP="00BC3037">
      <w:pPr>
        <w:rPr>
          <w:rFonts w:ascii="Arial" w:hAnsi="Arial" w:cs="Arial"/>
        </w:rPr>
      </w:pPr>
      <w:r w:rsidRPr="007D430C">
        <w:rPr>
          <w:rFonts w:ascii="Arial" w:hAnsi="Arial" w:cs="Arial"/>
        </w:rPr>
        <w:t>Signed in accordance with a resolution of the Directors.</w:t>
      </w:r>
    </w:p>
    <w:p w:rsidR="00E6220C" w:rsidRDefault="00E6220C" w:rsidP="00BC3037">
      <w:pPr>
        <w:rPr>
          <w:rFonts w:ascii="Arial" w:hAnsi="Arial" w:cs="Arial"/>
        </w:rPr>
      </w:pPr>
    </w:p>
    <w:p w:rsidR="00E6220C" w:rsidRDefault="00E6220C" w:rsidP="00BC3037">
      <w:pPr>
        <w:rPr>
          <w:rFonts w:ascii="Arial" w:hAnsi="Arial" w:cs="Arial"/>
        </w:rPr>
      </w:pPr>
    </w:p>
    <w:p w:rsidR="00BC3037" w:rsidRPr="007D430C" w:rsidRDefault="00BC3037" w:rsidP="00BC3037">
      <w:pPr>
        <w:rPr>
          <w:rFonts w:ascii="Arial" w:hAnsi="Arial" w:cs="Arial"/>
        </w:rPr>
      </w:pPr>
      <w:r w:rsidRPr="007D430C">
        <w:rPr>
          <w:rFonts w:ascii="Arial" w:hAnsi="Arial" w:cs="Arial"/>
        </w:rPr>
        <w:t>Director</w:t>
      </w:r>
    </w:p>
    <w:p w:rsidR="00BC3037" w:rsidRPr="007D430C" w:rsidRDefault="00BC3037" w:rsidP="00BC3037">
      <w:pPr>
        <w:rPr>
          <w:rFonts w:ascii="Arial" w:hAnsi="Arial" w:cs="Arial"/>
        </w:rPr>
      </w:pPr>
      <w:r w:rsidRPr="007D430C">
        <w:rPr>
          <w:rFonts w:ascii="Arial" w:hAnsi="Arial" w:cs="Arial"/>
        </w:rPr>
        <w:t>Itai Bryan Nyamawuya</w:t>
      </w:r>
      <w:r w:rsidR="00CA4B20" w:rsidRPr="007D430C">
        <w:rPr>
          <w:rFonts w:ascii="Arial" w:hAnsi="Arial" w:cs="Arial"/>
        </w:rPr>
        <w:br/>
      </w:r>
      <w:r w:rsidRPr="007D430C">
        <w:rPr>
          <w:rFonts w:ascii="Arial" w:hAnsi="Arial" w:cs="Arial"/>
          <w:i/>
        </w:rPr>
        <w:t>Dated the 14th day of November 2016</w:t>
      </w:r>
    </w:p>
    <w:p w:rsidR="003B1E57" w:rsidRDefault="003B1E57" w:rsidP="00B71075"/>
    <w:p w:rsidR="003B1E57" w:rsidRDefault="003B1E57" w:rsidP="00B71075"/>
    <w:p w:rsidR="003B1E57" w:rsidRDefault="003B1E57" w:rsidP="00B71075"/>
    <w:sectPr w:rsidR="003B1E57" w:rsidSect="00A77740">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AA1" w:rsidRDefault="00794AA1" w:rsidP="00073EC7">
      <w:pPr>
        <w:spacing w:after="0" w:line="240" w:lineRule="auto"/>
      </w:pPr>
      <w:r>
        <w:separator/>
      </w:r>
    </w:p>
  </w:endnote>
  <w:endnote w:type="continuationSeparator" w:id="0">
    <w:p w:rsidR="00794AA1" w:rsidRDefault="00794AA1" w:rsidP="0007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403" w:rsidRDefault="00402403">
    <w:pPr>
      <w:pStyle w:val="Footer"/>
    </w:pPr>
    <w:r>
      <w:t>Unau</w:t>
    </w:r>
    <w:r w:rsidRPr="00402403">
      <w:t>di</w:t>
    </w:r>
    <w:r>
      <w:t>ted Annual Financial Results</w:t>
    </w:r>
    <w:r w:rsidRPr="00402403">
      <w:t xml:space="preserve"> FY2016</w:t>
    </w:r>
  </w:p>
  <w:p w:rsidR="00402403" w:rsidRDefault="00402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AA1" w:rsidRDefault="00794AA1" w:rsidP="00073EC7">
      <w:pPr>
        <w:spacing w:after="0" w:line="240" w:lineRule="auto"/>
      </w:pPr>
      <w:r>
        <w:separator/>
      </w:r>
    </w:p>
  </w:footnote>
  <w:footnote w:type="continuationSeparator" w:id="0">
    <w:p w:rsidR="00794AA1" w:rsidRDefault="00794AA1" w:rsidP="00073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FDB" w:rsidRDefault="00CA4FDB">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4FDB" w:rsidRDefault="00CA4FDB">
                              <w:pPr>
                                <w:spacing w:after="0" w:line="240" w:lineRule="auto"/>
                              </w:pPr>
                              <w:r>
                                <w:t>F.E.A.R Corporation Financial Results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A4FDB" w:rsidRDefault="00CA4FDB">
                        <w:pPr>
                          <w:spacing w:after="0" w:line="240" w:lineRule="auto"/>
                        </w:pPr>
                        <w:r>
                          <w:t>F.E.A.R Corporation Financial Results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CA4FDB" w:rsidRDefault="00CA4FDB">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02403" w:rsidRPr="00402403">
                            <w:rPr>
                              <w:noProof/>
                              <w:color w:val="FFFFFF" w:themeColor="background1"/>
                              <w14:numForm w14:val="lining"/>
                            </w:rPr>
                            <w:t>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6076b4 [3204]" stroked="f">
              <v:textbox style="mso-fit-shape-to-text:t" inset=",0,,0">
                <w:txbxContent>
                  <w:p w:rsidR="00CA4FDB" w:rsidRDefault="00CA4FDB">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02403" w:rsidRPr="00402403">
                      <w:rPr>
                        <w:noProof/>
                        <w:color w:val="FFFFFF" w:themeColor="background1"/>
                        <w14:numForm w14:val="lining"/>
                      </w:rPr>
                      <w:t>8</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F89"/>
    <w:multiLevelType w:val="hybridMultilevel"/>
    <w:tmpl w:val="C3C4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B56C7"/>
    <w:multiLevelType w:val="hybridMultilevel"/>
    <w:tmpl w:val="CD78E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D2D50"/>
    <w:multiLevelType w:val="hybridMultilevel"/>
    <w:tmpl w:val="5B042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77C7D"/>
    <w:multiLevelType w:val="hybridMultilevel"/>
    <w:tmpl w:val="593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47EA2"/>
    <w:multiLevelType w:val="hybridMultilevel"/>
    <w:tmpl w:val="45E6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F59F4"/>
    <w:multiLevelType w:val="hybridMultilevel"/>
    <w:tmpl w:val="70EA446E"/>
    <w:lvl w:ilvl="0" w:tplc="52DE7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403D13"/>
    <w:multiLevelType w:val="hybridMultilevel"/>
    <w:tmpl w:val="38F8E3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447C1EC4"/>
    <w:multiLevelType w:val="hybridMultilevel"/>
    <w:tmpl w:val="0EA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4C720E"/>
    <w:multiLevelType w:val="hybridMultilevel"/>
    <w:tmpl w:val="D224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A5096"/>
    <w:multiLevelType w:val="hybridMultilevel"/>
    <w:tmpl w:val="F738B402"/>
    <w:lvl w:ilvl="0" w:tplc="F20653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85071BD"/>
    <w:multiLevelType w:val="hybridMultilevel"/>
    <w:tmpl w:val="1A42D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
  </w:num>
  <w:num w:numId="5">
    <w:abstractNumId w:val="5"/>
  </w:num>
  <w:num w:numId="6">
    <w:abstractNumId w:val="9"/>
  </w:num>
  <w:num w:numId="7">
    <w:abstractNumId w:val="6"/>
  </w:num>
  <w:num w:numId="8">
    <w:abstractNumId w:val="10"/>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75"/>
    <w:rsid w:val="00073EC7"/>
    <w:rsid w:val="00075758"/>
    <w:rsid w:val="001560A3"/>
    <w:rsid w:val="001C27D1"/>
    <w:rsid w:val="00283DF7"/>
    <w:rsid w:val="002F0189"/>
    <w:rsid w:val="00343385"/>
    <w:rsid w:val="00363A17"/>
    <w:rsid w:val="003B098F"/>
    <w:rsid w:val="003B1E57"/>
    <w:rsid w:val="00402403"/>
    <w:rsid w:val="004A7539"/>
    <w:rsid w:val="004D3B7B"/>
    <w:rsid w:val="00570ABC"/>
    <w:rsid w:val="006074EA"/>
    <w:rsid w:val="00656EE3"/>
    <w:rsid w:val="00765C80"/>
    <w:rsid w:val="00794AA1"/>
    <w:rsid w:val="007962DD"/>
    <w:rsid w:val="007D430C"/>
    <w:rsid w:val="008119E5"/>
    <w:rsid w:val="008178A7"/>
    <w:rsid w:val="00856DE3"/>
    <w:rsid w:val="00864B94"/>
    <w:rsid w:val="0087530D"/>
    <w:rsid w:val="00973C76"/>
    <w:rsid w:val="009B2AB9"/>
    <w:rsid w:val="009C3526"/>
    <w:rsid w:val="00A77740"/>
    <w:rsid w:val="00A96431"/>
    <w:rsid w:val="00B03E1C"/>
    <w:rsid w:val="00B14FFD"/>
    <w:rsid w:val="00B71075"/>
    <w:rsid w:val="00B84313"/>
    <w:rsid w:val="00BC3037"/>
    <w:rsid w:val="00BD5547"/>
    <w:rsid w:val="00C10A1A"/>
    <w:rsid w:val="00C60A8B"/>
    <w:rsid w:val="00CA4B20"/>
    <w:rsid w:val="00CA4FDB"/>
    <w:rsid w:val="00D57C09"/>
    <w:rsid w:val="00DD4DA6"/>
    <w:rsid w:val="00E6220C"/>
    <w:rsid w:val="00E8089D"/>
    <w:rsid w:val="00EB2722"/>
    <w:rsid w:val="00EF6C3C"/>
    <w:rsid w:val="00F004FC"/>
    <w:rsid w:val="00F2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2DD"/>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Heading2">
    <w:name w:val="heading 2"/>
    <w:basedOn w:val="Normal"/>
    <w:next w:val="Normal"/>
    <w:link w:val="Heading2Char"/>
    <w:uiPriority w:val="9"/>
    <w:unhideWhenUsed/>
    <w:qFormat/>
    <w:rsid w:val="007962DD"/>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unhideWhenUsed/>
    <w:qFormat/>
    <w:rsid w:val="007962DD"/>
    <w:pPr>
      <w:keepNext/>
      <w:keepLines/>
      <w:spacing w:before="200" w:after="0"/>
      <w:outlineLvl w:val="2"/>
    </w:pPr>
    <w:rPr>
      <w:rFonts w:asciiTheme="majorHAnsi" w:eastAsiaTheme="majorEastAsia" w:hAnsiTheme="majorHAnsi" w:cstheme="majorBidi"/>
      <w:b/>
      <w:bCs/>
      <w:color w:val="6076B4" w:themeColor="accent1"/>
    </w:rPr>
  </w:style>
  <w:style w:type="paragraph" w:styleId="Heading4">
    <w:name w:val="heading 4"/>
    <w:basedOn w:val="Normal"/>
    <w:next w:val="Normal"/>
    <w:link w:val="Heading4Char"/>
    <w:uiPriority w:val="9"/>
    <w:unhideWhenUsed/>
    <w:qFormat/>
    <w:rsid w:val="007962DD"/>
    <w:pPr>
      <w:keepNext/>
      <w:keepLines/>
      <w:spacing w:before="200" w:after="0"/>
      <w:outlineLvl w:val="3"/>
    </w:pPr>
    <w:rPr>
      <w:rFonts w:asciiTheme="majorHAnsi" w:eastAsiaTheme="majorEastAsia" w:hAnsiTheme="majorHAnsi" w:cstheme="majorBidi"/>
      <w:b/>
      <w:bCs/>
      <w:i/>
      <w:iCs/>
      <w:color w:val="6076B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07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7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C7"/>
  </w:style>
  <w:style w:type="paragraph" w:styleId="Footer">
    <w:name w:val="footer"/>
    <w:basedOn w:val="Normal"/>
    <w:link w:val="FooterChar"/>
    <w:uiPriority w:val="99"/>
    <w:unhideWhenUsed/>
    <w:rsid w:val="0007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C7"/>
  </w:style>
  <w:style w:type="paragraph" w:styleId="BalloonText">
    <w:name w:val="Balloon Text"/>
    <w:basedOn w:val="Normal"/>
    <w:link w:val="BalloonTextChar"/>
    <w:uiPriority w:val="99"/>
    <w:semiHidden/>
    <w:unhideWhenUsed/>
    <w:rsid w:val="0007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C7"/>
    <w:rPr>
      <w:rFonts w:ascii="Tahoma" w:hAnsi="Tahoma" w:cs="Tahoma"/>
      <w:sz w:val="16"/>
      <w:szCs w:val="16"/>
    </w:rPr>
  </w:style>
  <w:style w:type="character" w:customStyle="1" w:styleId="Heading2Char">
    <w:name w:val="Heading 2 Char"/>
    <w:basedOn w:val="DefaultParagraphFont"/>
    <w:link w:val="Heading2"/>
    <w:uiPriority w:val="9"/>
    <w:rsid w:val="007962DD"/>
    <w:rPr>
      <w:rFonts w:asciiTheme="majorHAnsi" w:eastAsiaTheme="majorEastAsia" w:hAnsiTheme="majorHAnsi" w:cstheme="majorBidi"/>
      <w:b/>
      <w:bCs/>
      <w:color w:val="6076B4" w:themeColor="accent1"/>
      <w:sz w:val="26"/>
      <w:szCs w:val="26"/>
    </w:rPr>
  </w:style>
  <w:style w:type="character" w:customStyle="1" w:styleId="Heading3Char">
    <w:name w:val="Heading 3 Char"/>
    <w:basedOn w:val="DefaultParagraphFont"/>
    <w:link w:val="Heading3"/>
    <w:uiPriority w:val="9"/>
    <w:rsid w:val="007962DD"/>
    <w:rPr>
      <w:rFonts w:asciiTheme="majorHAnsi" w:eastAsiaTheme="majorEastAsia" w:hAnsiTheme="majorHAnsi" w:cstheme="majorBidi"/>
      <w:b/>
      <w:bCs/>
      <w:color w:val="6076B4" w:themeColor="accent1"/>
    </w:rPr>
  </w:style>
  <w:style w:type="character" w:customStyle="1" w:styleId="Heading4Char">
    <w:name w:val="Heading 4 Char"/>
    <w:basedOn w:val="DefaultParagraphFont"/>
    <w:link w:val="Heading4"/>
    <w:uiPriority w:val="9"/>
    <w:rsid w:val="007962DD"/>
    <w:rPr>
      <w:rFonts w:asciiTheme="majorHAnsi" w:eastAsiaTheme="majorEastAsia" w:hAnsiTheme="majorHAnsi" w:cstheme="majorBidi"/>
      <w:b/>
      <w:bCs/>
      <w:i/>
      <w:iCs/>
      <w:color w:val="6076B4" w:themeColor="accent1"/>
    </w:rPr>
  </w:style>
  <w:style w:type="character" w:customStyle="1" w:styleId="Heading1Char">
    <w:name w:val="Heading 1 Char"/>
    <w:basedOn w:val="DefaultParagraphFont"/>
    <w:link w:val="Heading1"/>
    <w:uiPriority w:val="9"/>
    <w:rsid w:val="007962DD"/>
    <w:rPr>
      <w:rFonts w:asciiTheme="majorHAnsi" w:eastAsiaTheme="majorEastAsia" w:hAnsiTheme="majorHAnsi" w:cstheme="majorBidi"/>
      <w:b/>
      <w:bCs/>
      <w:color w:val="42558C" w:themeColor="accent1" w:themeShade="BF"/>
      <w:sz w:val="28"/>
      <w:szCs w:val="28"/>
    </w:rPr>
  </w:style>
  <w:style w:type="table" w:styleId="TableGrid">
    <w:name w:val="Table Grid"/>
    <w:basedOn w:val="TableNormal"/>
    <w:uiPriority w:val="59"/>
    <w:rsid w:val="00EB2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722"/>
    <w:pPr>
      <w:ind w:left="720"/>
      <w:contextualSpacing/>
    </w:pPr>
  </w:style>
  <w:style w:type="paragraph" w:styleId="TOCHeading">
    <w:name w:val="TOC Heading"/>
    <w:basedOn w:val="Heading1"/>
    <w:next w:val="Normal"/>
    <w:uiPriority w:val="39"/>
    <w:semiHidden/>
    <w:unhideWhenUsed/>
    <w:qFormat/>
    <w:rsid w:val="001560A3"/>
    <w:pPr>
      <w:outlineLvl w:val="9"/>
    </w:pPr>
    <w:rPr>
      <w:lang w:eastAsia="ja-JP"/>
    </w:rPr>
  </w:style>
  <w:style w:type="paragraph" w:styleId="TOC2">
    <w:name w:val="toc 2"/>
    <w:basedOn w:val="Normal"/>
    <w:next w:val="Normal"/>
    <w:autoRedefine/>
    <w:uiPriority w:val="39"/>
    <w:unhideWhenUsed/>
    <w:qFormat/>
    <w:rsid w:val="001560A3"/>
    <w:pPr>
      <w:spacing w:after="100"/>
      <w:ind w:left="220"/>
    </w:pPr>
    <w:rPr>
      <w:rFonts w:eastAsiaTheme="minorEastAsia"/>
      <w:lang w:eastAsia="ja-JP"/>
    </w:rPr>
  </w:style>
  <w:style w:type="paragraph" w:styleId="TOC1">
    <w:name w:val="toc 1"/>
    <w:basedOn w:val="Normal"/>
    <w:next w:val="Normal"/>
    <w:autoRedefine/>
    <w:uiPriority w:val="39"/>
    <w:unhideWhenUsed/>
    <w:qFormat/>
    <w:rsid w:val="001560A3"/>
    <w:pPr>
      <w:spacing w:after="100"/>
    </w:pPr>
    <w:rPr>
      <w:rFonts w:eastAsiaTheme="minorEastAsia"/>
      <w:lang w:eastAsia="ja-JP"/>
    </w:rPr>
  </w:style>
  <w:style w:type="paragraph" w:styleId="TOC3">
    <w:name w:val="toc 3"/>
    <w:basedOn w:val="Normal"/>
    <w:next w:val="Normal"/>
    <w:autoRedefine/>
    <w:uiPriority w:val="39"/>
    <w:unhideWhenUsed/>
    <w:qFormat/>
    <w:rsid w:val="001560A3"/>
    <w:pPr>
      <w:spacing w:after="100"/>
      <w:ind w:left="440"/>
    </w:pPr>
    <w:rPr>
      <w:rFonts w:eastAsiaTheme="minorEastAsia"/>
      <w:lang w:eastAsia="ja-JP"/>
    </w:rPr>
  </w:style>
  <w:style w:type="character" w:styleId="Hyperlink">
    <w:name w:val="Hyperlink"/>
    <w:basedOn w:val="DefaultParagraphFont"/>
    <w:uiPriority w:val="99"/>
    <w:unhideWhenUsed/>
    <w:rsid w:val="001560A3"/>
    <w:rPr>
      <w:color w:val="3399FF" w:themeColor="hyperlink"/>
      <w:u w:val="single"/>
    </w:rPr>
  </w:style>
  <w:style w:type="paragraph" w:styleId="NoSpacing">
    <w:name w:val="No Spacing"/>
    <w:link w:val="NoSpacingChar"/>
    <w:uiPriority w:val="1"/>
    <w:qFormat/>
    <w:rsid w:val="00A777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7740"/>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2DD"/>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paragraph" w:styleId="Heading2">
    <w:name w:val="heading 2"/>
    <w:basedOn w:val="Normal"/>
    <w:next w:val="Normal"/>
    <w:link w:val="Heading2Char"/>
    <w:uiPriority w:val="9"/>
    <w:unhideWhenUsed/>
    <w:qFormat/>
    <w:rsid w:val="007962DD"/>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unhideWhenUsed/>
    <w:qFormat/>
    <w:rsid w:val="007962DD"/>
    <w:pPr>
      <w:keepNext/>
      <w:keepLines/>
      <w:spacing w:before="200" w:after="0"/>
      <w:outlineLvl w:val="2"/>
    </w:pPr>
    <w:rPr>
      <w:rFonts w:asciiTheme="majorHAnsi" w:eastAsiaTheme="majorEastAsia" w:hAnsiTheme="majorHAnsi" w:cstheme="majorBidi"/>
      <w:b/>
      <w:bCs/>
      <w:color w:val="6076B4" w:themeColor="accent1"/>
    </w:rPr>
  </w:style>
  <w:style w:type="paragraph" w:styleId="Heading4">
    <w:name w:val="heading 4"/>
    <w:basedOn w:val="Normal"/>
    <w:next w:val="Normal"/>
    <w:link w:val="Heading4Char"/>
    <w:uiPriority w:val="9"/>
    <w:unhideWhenUsed/>
    <w:qFormat/>
    <w:rsid w:val="007962DD"/>
    <w:pPr>
      <w:keepNext/>
      <w:keepLines/>
      <w:spacing w:before="200" w:after="0"/>
      <w:outlineLvl w:val="3"/>
    </w:pPr>
    <w:rPr>
      <w:rFonts w:asciiTheme="majorHAnsi" w:eastAsiaTheme="majorEastAsia" w:hAnsiTheme="majorHAnsi" w:cstheme="majorBidi"/>
      <w:b/>
      <w:bCs/>
      <w:i/>
      <w:iCs/>
      <w:color w:val="6076B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107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7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C7"/>
  </w:style>
  <w:style w:type="paragraph" w:styleId="Footer">
    <w:name w:val="footer"/>
    <w:basedOn w:val="Normal"/>
    <w:link w:val="FooterChar"/>
    <w:uiPriority w:val="99"/>
    <w:unhideWhenUsed/>
    <w:rsid w:val="0007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C7"/>
  </w:style>
  <w:style w:type="paragraph" w:styleId="BalloonText">
    <w:name w:val="Balloon Text"/>
    <w:basedOn w:val="Normal"/>
    <w:link w:val="BalloonTextChar"/>
    <w:uiPriority w:val="99"/>
    <w:semiHidden/>
    <w:unhideWhenUsed/>
    <w:rsid w:val="00073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C7"/>
    <w:rPr>
      <w:rFonts w:ascii="Tahoma" w:hAnsi="Tahoma" w:cs="Tahoma"/>
      <w:sz w:val="16"/>
      <w:szCs w:val="16"/>
    </w:rPr>
  </w:style>
  <w:style w:type="character" w:customStyle="1" w:styleId="Heading2Char">
    <w:name w:val="Heading 2 Char"/>
    <w:basedOn w:val="DefaultParagraphFont"/>
    <w:link w:val="Heading2"/>
    <w:uiPriority w:val="9"/>
    <w:rsid w:val="007962DD"/>
    <w:rPr>
      <w:rFonts w:asciiTheme="majorHAnsi" w:eastAsiaTheme="majorEastAsia" w:hAnsiTheme="majorHAnsi" w:cstheme="majorBidi"/>
      <w:b/>
      <w:bCs/>
      <w:color w:val="6076B4" w:themeColor="accent1"/>
      <w:sz w:val="26"/>
      <w:szCs w:val="26"/>
    </w:rPr>
  </w:style>
  <w:style w:type="character" w:customStyle="1" w:styleId="Heading3Char">
    <w:name w:val="Heading 3 Char"/>
    <w:basedOn w:val="DefaultParagraphFont"/>
    <w:link w:val="Heading3"/>
    <w:uiPriority w:val="9"/>
    <w:rsid w:val="007962DD"/>
    <w:rPr>
      <w:rFonts w:asciiTheme="majorHAnsi" w:eastAsiaTheme="majorEastAsia" w:hAnsiTheme="majorHAnsi" w:cstheme="majorBidi"/>
      <w:b/>
      <w:bCs/>
      <w:color w:val="6076B4" w:themeColor="accent1"/>
    </w:rPr>
  </w:style>
  <w:style w:type="character" w:customStyle="1" w:styleId="Heading4Char">
    <w:name w:val="Heading 4 Char"/>
    <w:basedOn w:val="DefaultParagraphFont"/>
    <w:link w:val="Heading4"/>
    <w:uiPriority w:val="9"/>
    <w:rsid w:val="007962DD"/>
    <w:rPr>
      <w:rFonts w:asciiTheme="majorHAnsi" w:eastAsiaTheme="majorEastAsia" w:hAnsiTheme="majorHAnsi" w:cstheme="majorBidi"/>
      <w:b/>
      <w:bCs/>
      <w:i/>
      <w:iCs/>
      <w:color w:val="6076B4" w:themeColor="accent1"/>
    </w:rPr>
  </w:style>
  <w:style w:type="character" w:customStyle="1" w:styleId="Heading1Char">
    <w:name w:val="Heading 1 Char"/>
    <w:basedOn w:val="DefaultParagraphFont"/>
    <w:link w:val="Heading1"/>
    <w:uiPriority w:val="9"/>
    <w:rsid w:val="007962DD"/>
    <w:rPr>
      <w:rFonts w:asciiTheme="majorHAnsi" w:eastAsiaTheme="majorEastAsia" w:hAnsiTheme="majorHAnsi" w:cstheme="majorBidi"/>
      <w:b/>
      <w:bCs/>
      <w:color w:val="42558C" w:themeColor="accent1" w:themeShade="BF"/>
      <w:sz w:val="28"/>
      <w:szCs w:val="28"/>
    </w:rPr>
  </w:style>
  <w:style w:type="table" w:styleId="TableGrid">
    <w:name w:val="Table Grid"/>
    <w:basedOn w:val="TableNormal"/>
    <w:uiPriority w:val="59"/>
    <w:rsid w:val="00EB2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722"/>
    <w:pPr>
      <w:ind w:left="720"/>
      <w:contextualSpacing/>
    </w:pPr>
  </w:style>
  <w:style w:type="paragraph" w:styleId="TOCHeading">
    <w:name w:val="TOC Heading"/>
    <w:basedOn w:val="Heading1"/>
    <w:next w:val="Normal"/>
    <w:uiPriority w:val="39"/>
    <w:semiHidden/>
    <w:unhideWhenUsed/>
    <w:qFormat/>
    <w:rsid w:val="001560A3"/>
    <w:pPr>
      <w:outlineLvl w:val="9"/>
    </w:pPr>
    <w:rPr>
      <w:lang w:eastAsia="ja-JP"/>
    </w:rPr>
  </w:style>
  <w:style w:type="paragraph" w:styleId="TOC2">
    <w:name w:val="toc 2"/>
    <w:basedOn w:val="Normal"/>
    <w:next w:val="Normal"/>
    <w:autoRedefine/>
    <w:uiPriority w:val="39"/>
    <w:unhideWhenUsed/>
    <w:qFormat/>
    <w:rsid w:val="001560A3"/>
    <w:pPr>
      <w:spacing w:after="100"/>
      <w:ind w:left="220"/>
    </w:pPr>
    <w:rPr>
      <w:rFonts w:eastAsiaTheme="minorEastAsia"/>
      <w:lang w:eastAsia="ja-JP"/>
    </w:rPr>
  </w:style>
  <w:style w:type="paragraph" w:styleId="TOC1">
    <w:name w:val="toc 1"/>
    <w:basedOn w:val="Normal"/>
    <w:next w:val="Normal"/>
    <w:autoRedefine/>
    <w:uiPriority w:val="39"/>
    <w:unhideWhenUsed/>
    <w:qFormat/>
    <w:rsid w:val="001560A3"/>
    <w:pPr>
      <w:spacing w:after="100"/>
    </w:pPr>
    <w:rPr>
      <w:rFonts w:eastAsiaTheme="minorEastAsia"/>
      <w:lang w:eastAsia="ja-JP"/>
    </w:rPr>
  </w:style>
  <w:style w:type="paragraph" w:styleId="TOC3">
    <w:name w:val="toc 3"/>
    <w:basedOn w:val="Normal"/>
    <w:next w:val="Normal"/>
    <w:autoRedefine/>
    <w:uiPriority w:val="39"/>
    <w:unhideWhenUsed/>
    <w:qFormat/>
    <w:rsid w:val="001560A3"/>
    <w:pPr>
      <w:spacing w:after="100"/>
      <w:ind w:left="440"/>
    </w:pPr>
    <w:rPr>
      <w:rFonts w:eastAsiaTheme="minorEastAsia"/>
      <w:lang w:eastAsia="ja-JP"/>
    </w:rPr>
  </w:style>
  <w:style w:type="character" w:styleId="Hyperlink">
    <w:name w:val="Hyperlink"/>
    <w:basedOn w:val="DefaultParagraphFont"/>
    <w:uiPriority w:val="99"/>
    <w:unhideWhenUsed/>
    <w:rsid w:val="001560A3"/>
    <w:rPr>
      <w:color w:val="3399FF" w:themeColor="hyperlink"/>
      <w:u w:val="single"/>
    </w:rPr>
  </w:style>
  <w:style w:type="paragraph" w:styleId="NoSpacing">
    <w:name w:val="No Spacing"/>
    <w:link w:val="NoSpacingChar"/>
    <w:uiPriority w:val="1"/>
    <w:qFormat/>
    <w:rsid w:val="00A777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774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FE52101520499F97592B2069CFA533"/>
        <w:category>
          <w:name w:val="General"/>
          <w:gallery w:val="placeholder"/>
        </w:category>
        <w:types>
          <w:type w:val="bbPlcHdr"/>
        </w:types>
        <w:behaviors>
          <w:behavior w:val="content"/>
        </w:behaviors>
        <w:guid w:val="{33BAB119-17AE-4588-8871-F8ACEAB23110}"/>
      </w:docPartPr>
      <w:docPartBody>
        <w:p w:rsidR="00000000" w:rsidRDefault="007147D3" w:rsidP="007147D3">
          <w:pPr>
            <w:pStyle w:val="F3FE52101520499F97592B2069CFA533"/>
          </w:pPr>
          <w:r>
            <w:rPr>
              <w:rFonts w:asciiTheme="majorHAnsi" w:eastAsiaTheme="majorEastAsia" w:hAnsiTheme="majorHAnsi" w:cstheme="majorBidi"/>
              <w:sz w:val="72"/>
              <w:szCs w:val="72"/>
            </w:rPr>
            <w:t>[Type the document title]</w:t>
          </w:r>
        </w:p>
      </w:docPartBody>
    </w:docPart>
    <w:docPart>
      <w:docPartPr>
        <w:name w:val="072F869D35AF49149DD50F74209FA4B1"/>
        <w:category>
          <w:name w:val="General"/>
          <w:gallery w:val="placeholder"/>
        </w:category>
        <w:types>
          <w:type w:val="bbPlcHdr"/>
        </w:types>
        <w:behaviors>
          <w:behavior w:val="content"/>
        </w:behaviors>
        <w:guid w:val="{DBB547C3-63C3-4991-A0F5-EA0CBABC27BF}"/>
      </w:docPartPr>
      <w:docPartBody>
        <w:p w:rsidR="00000000" w:rsidRDefault="007147D3" w:rsidP="007147D3">
          <w:pPr>
            <w:pStyle w:val="072F869D35AF49149DD50F74209FA4B1"/>
          </w:pPr>
          <w:r>
            <w:rPr>
              <w:rFonts w:asciiTheme="majorHAnsi" w:eastAsiaTheme="majorEastAsia" w:hAnsiTheme="majorHAnsi" w:cstheme="majorBidi"/>
              <w:sz w:val="36"/>
              <w:szCs w:val="36"/>
            </w:rPr>
            <w:t>[Pick the date]</w:t>
          </w:r>
        </w:p>
      </w:docPartBody>
    </w:docPart>
    <w:docPart>
      <w:docPartPr>
        <w:name w:val="39C0B6F514F848E2A8E56FE30FEA47AE"/>
        <w:category>
          <w:name w:val="General"/>
          <w:gallery w:val="placeholder"/>
        </w:category>
        <w:types>
          <w:type w:val="bbPlcHdr"/>
        </w:types>
        <w:behaviors>
          <w:behavior w:val="content"/>
        </w:behaviors>
        <w:guid w:val="{1CF56EB3-7FA9-4AA5-B436-61C2F5B70E08}"/>
      </w:docPartPr>
      <w:docPartBody>
        <w:p w:rsidR="00000000" w:rsidRDefault="007147D3" w:rsidP="007147D3">
          <w:pPr>
            <w:pStyle w:val="39C0B6F514F848E2A8E56FE30FEA47AE"/>
          </w:pPr>
          <w:r>
            <w:rPr>
              <w:color w:val="4F81BD" w:themeColor="accent1"/>
              <w:sz w:val="200"/>
              <w:szCs w:val="200"/>
            </w:rPr>
            <w:t>[Year]</w:t>
          </w:r>
        </w:p>
      </w:docPartBody>
    </w:docPart>
    <w:docPart>
      <w:docPartPr>
        <w:name w:val="A9BB417C2A34443A9E611CCDB086FB41"/>
        <w:category>
          <w:name w:val="General"/>
          <w:gallery w:val="placeholder"/>
        </w:category>
        <w:types>
          <w:type w:val="bbPlcHdr"/>
        </w:types>
        <w:behaviors>
          <w:behavior w:val="content"/>
        </w:behaviors>
        <w:guid w:val="{906AD11D-C3D8-4439-B367-D3393A5A517C}"/>
      </w:docPartPr>
      <w:docPartBody>
        <w:p w:rsidR="00000000" w:rsidRDefault="007147D3" w:rsidP="007147D3">
          <w:pPr>
            <w:pStyle w:val="A9BB417C2A34443A9E611CCDB086FB4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18A2719014B4A5B839740869C91962C"/>
        <w:category>
          <w:name w:val="General"/>
          <w:gallery w:val="placeholder"/>
        </w:category>
        <w:types>
          <w:type w:val="bbPlcHdr"/>
        </w:types>
        <w:behaviors>
          <w:behavior w:val="content"/>
        </w:behaviors>
        <w:guid w:val="{D8809384-B07D-4C7A-97BB-C08731092B9B}"/>
      </w:docPartPr>
      <w:docPartBody>
        <w:p w:rsidR="00000000" w:rsidRDefault="007147D3" w:rsidP="007147D3">
          <w:pPr>
            <w:pStyle w:val="F18A2719014B4A5B839740869C91962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7D3"/>
    <w:rsid w:val="0071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40F42F66A4F6D91E808F1E4C53069">
    <w:name w:val="C7A40F42F66A4F6D91E808F1E4C53069"/>
    <w:rsid w:val="007147D3"/>
  </w:style>
  <w:style w:type="paragraph" w:customStyle="1" w:styleId="F2E5F84B51C94787A4B9D1309839F0B2">
    <w:name w:val="F2E5F84B51C94787A4B9D1309839F0B2"/>
    <w:rsid w:val="007147D3"/>
  </w:style>
  <w:style w:type="paragraph" w:customStyle="1" w:styleId="023F0324FDB0449AA9F767198168DBB7">
    <w:name w:val="023F0324FDB0449AA9F767198168DBB7"/>
    <w:rsid w:val="007147D3"/>
  </w:style>
  <w:style w:type="paragraph" w:customStyle="1" w:styleId="BCB298B275F94B63B595839EF2F6F99F">
    <w:name w:val="BCB298B275F94B63B595839EF2F6F99F"/>
    <w:rsid w:val="007147D3"/>
  </w:style>
  <w:style w:type="paragraph" w:customStyle="1" w:styleId="F3FE52101520499F97592B2069CFA533">
    <w:name w:val="F3FE52101520499F97592B2069CFA533"/>
    <w:rsid w:val="007147D3"/>
  </w:style>
  <w:style w:type="paragraph" w:customStyle="1" w:styleId="072F869D35AF49149DD50F74209FA4B1">
    <w:name w:val="072F869D35AF49149DD50F74209FA4B1"/>
    <w:rsid w:val="007147D3"/>
  </w:style>
  <w:style w:type="paragraph" w:customStyle="1" w:styleId="39C0B6F514F848E2A8E56FE30FEA47AE">
    <w:name w:val="39C0B6F514F848E2A8E56FE30FEA47AE"/>
    <w:rsid w:val="007147D3"/>
  </w:style>
  <w:style w:type="paragraph" w:customStyle="1" w:styleId="A9BB417C2A34443A9E611CCDB086FB41">
    <w:name w:val="A9BB417C2A34443A9E611CCDB086FB41"/>
    <w:rsid w:val="007147D3"/>
  </w:style>
  <w:style w:type="paragraph" w:customStyle="1" w:styleId="F18A2719014B4A5B839740869C91962C">
    <w:name w:val="F18A2719014B4A5B839740869C91962C"/>
    <w:rsid w:val="007147D3"/>
  </w:style>
  <w:style w:type="paragraph" w:customStyle="1" w:styleId="A359213514AD4689A3EACB3666191A32">
    <w:name w:val="A359213514AD4689A3EACB3666191A32"/>
    <w:rsid w:val="007147D3"/>
  </w:style>
  <w:style w:type="paragraph" w:customStyle="1" w:styleId="5AFF0AE0576543E785F844E02D2FACDD">
    <w:name w:val="5AFF0AE0576543E785F844E02D2FACDD"/>
    <w:rsid w:val="007147D3"/>
  </w:style>
  <w:style w:type="paragraph" w:customStyle="1" w:styleId="432BF39DBD844DA0B45FC5AD0EE64765">
    <w:name w:val="432BF39DBD844DA0B45FC5AD0EE64765"/>
    <w:rsid w:val="007147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40F42F66A4F6D91E808F1E4C53069">
    <w:name w:val="C7A40F42F66A4F6D91E808F1E4C53069"/>
    <w:rsid w:val="007147D3"/>
  </w:style>
  <w:style w:type="paragraph" w:customStyle="1" w:styleId="F2E5F84B51C94787A4B9D1309839F0B2">
    <w:name w:val="F2E5F84B51C94787A4B9D1309839F0B2"/>
    <w:rsid w:val="007147D3"/>
  </w:style>
  <w:style w:type="paragraph" w:customStyle="1" w:styleId="023F0324FDB0449AA9F767198168DBB7">
    <w:name w:val="023F0324FDB0449AA9F767198168DBB7"/>
    <w:rsid w:val="007147D3"/>
  </w:style>
  <w:style w:type="paragraph" w:customStyle="1" w:styleId="BCB298B275F94B63B595839EF2F6F99F">
    <w:name w:val="BCB298B275F94B63B595839EF2F6F99F"/>
    <w:rsid w:val="007147D3"/>
  </w:style>
  <w:style w:type="paragraph" w:customStyle="1" w:styleId="F3FE52101520499F97592B2069CFA533">
    <w:name w:val="F3FE52101520499F97592B2069CFA533"/>
    <w:rsid w:val="007147D3"/>
  </w:style>
  <w:style w:type="paragraph" w:customStyle="1" w:styleId="072F869D35AF49149DD50F74209FA4B1">
    <w:name w:val="072F869D35AF49149DD50F74209FA4B1"/>
    <w:rsid w:val="007147D3"/>
  </w:style>
  <w:style w:type="paragraph" w:customStyle="1" w:styleId="39C0B6F514F848E2A8E56FE30FEA47AE">
    <w:name w:val="39C0B6F514F848E2A8E56FE30FEA47AE"/>
    <w:rsid w:val="007147D3"/>
  </w:style>
  <w:style w:type="paragraph" w:customStyle="1" w:styleId="A9BB417C2A34443A9E611CCDB086FB41">
    <w:name w:val="A9BB417C2A34443A9E611CCDB086FB41"/>
    <w:rsid w:val="007147D3"/>
  </w:style>
  <w:style w:type="paragraph" w:customStyle="1" w:styleId="F18A2719014B4A5B839740869C91962C">
    <w:name w:val="F18A2719014B4A5B839740869C91962C"/>
    <w:rsid w:val="007147D3"/>
  </w:style>
  <w:style w:type="paragraph" w:customStyle="1" w:styleId="A359213514AD4689A3EACB3666191A32">
    <w:name w:val="A359213514AD4689A3EACB3666191A32"/>
    <w:rsid w:val="007147D3"/>
  </w:style>
  <w:style w:type="paragraph" w:customStyle="1" w:styleId="5AFF0AE0576543E785F844E02D2FACDD">
    <w:name w:val="5AFF0AE0576543E785F844E02D2FACDD"/>
    <w:rsid w:val="007147D3"/>
  </w:style>
  <w:style w:type="paragraph" w:customStyle="1" w:styleId="432BF39DBD844DA0B45FC5AD0EE64765">
    <w:name w:val="432BF39DBD844DA0B45FC5AD0EE64765"/>
    <w:rsid w:val="00714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Unaudited annual financial results for the trading year ending 14 November 2016. The report contains the Director’s views, the Corporation’s consolidated financial statements and maps a way forward in the 2017 financial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0A36B-534A-459F-9ED5-F0A10E51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 Corporation Financial Results</dc:title>
  <dc:subject>Unaudited Annual Financial Statements</dc:subject>
  <dc:creator>WorkBook</dc:creator>
  <cp:lastModifiedBy>WorkBook</cp:lastModifiedBy>
  <cp:revision>26</cp:revision>
  <dcterms:created xsi:type="dcterms:W3CDTF">2016-11-22T07:43:00Z</dcterms:created>
  <dcterms:modified xsi:type="dcterms:W3CDTF">2016-11-22T14:21:00Z</dcterms:modified>
</cp:coreProperties>
</file>