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lang w:eastAsia="en-GB"/>
        </w:rPr>
        <w:t> </w:t>
      </w:r>
    </w:p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rFonts w:ascii="Times New Roman" w:hAnsi="Times New Roman"/>
          <w:b/>
          <w:bCs/>
          <w:bdr w:val="none" w:sz="0" w:space="0" w:color="auto" w:frame="1"/>
          <w:lang w:eastAsia="en-GB"/>
        </w:rPr>
        <w:t>CHAPTER ONE</w:t>
      </w:r>
    </w:p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lang w:eastAsia="en-GB"/>
        </w:rPr>
        <w:t> </w:t>
      </w:r>
    </w:p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rFonts w:ascii="Times New Roman" w:hAnsi="Times New Roman"/>
          <w:b/>
          <w:bCs/>
          <w:bdr w:val="none" w:sz="0" w:space="0" w:color="auto" w:frame="1"/>
          <w:lang w:eastAsia="en-GB"/>
        </w:rPr>
        <w:t>1.0 INTRODUCTION</w:t>
      </w:r>
    </w:p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rFonts w:ascii="Times New Roman" w:hAnsi="Times New Roman"/>
          <w:bdr w:val="none" w:sz="0" w:space="0" w:color="auto" w:frame="1"/>
          <w:lang w:eastAsia="en-GB"/>
        </w:rPr>
        <w:t>For several years, efforts have been made to ease the difficulties faced by students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at registration, result and transcript generation and the accompanying hardship faced by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desk officers who are in charge of processing these applications. There are errors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associated with the existing manual method of processing of students results in most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Higher Intuitions in Nigeria, (Adeyegbe, 2007)), this makes it not only desirable but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imperative that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students’ result processing be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computerized.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The manual methods being employed suffer a number of set-backs which includes;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computational miscalculation, among others are high turnover time for processing,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difficult retrieval of student results and so on (Olasina, 2011) making the process to be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time consuming and prone to error. All these lead to examination results being published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late, sometimes with wrong grades being entered and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students’ grade point averages being wrongly computed as a result, and ultimately leading to wrong conclusions being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arrived at on grades being awarded. Some students could end up with undeserved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HND/OND result, while others could be unfairly victimized, bringing about frustration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and bad blood. These can tarnish the image of all the Polytechnics in Nigeria. Online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registration emerged because of these problems associated with manual handling of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registration and student records. Other problems include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mismanagement of students’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academic records, mismanagement of courses registered for, among others (Enwere,1992). The solution to these problems, therefore, is to find a method of processing</w:t>
      </w:r>
      <w:r>
        <w:rPr>
          <w:rFonts w:ascii="Times New Roman" w:hAnsi="Times New Roman"/>
          <w:bdr w:val="none" w:sz="0" w:space="0" w:color="auto" w:frame="1"/>
          <w:lang w:eastAsia="en-GB"/>
        </w:rPr>
        <w:t xml:space="preserve"> </w:t>
      </w:r>
      <w:r w:rsidRPr="008A1FD6">
        <w:rPr>
          <w:rFonts w:ascii="Times New Roman" w:hAnsi="Times New Roman"/>
          <w:bdr w:val="none" w:sz="0" w:space="0" w:color="auto" w:frame="1"/>
          <w:lang w:eastAsia="en-GB"/>
        </w:rPr>
        <w:t>examination results that would be sufficiently accurate and reasonably timely.</w:t>
      </w:r>
    </w:p>
    <w:p w:rsidR="008A1FD6" w:rsidRPr="008A1FD6" w:rsidRDefault="008A1FD6" w:rsidP="008A1FD6">
      <w:pPr>
        <w:jc w:val="both"/>
        <w:rPr>
          <w:lang w:eastAsia="en-GB"/>
        </w:rPr>
      </w:pPr>
      <w:r w:rsidRPr="008A1FD6">
        <w:rPr>
          <w:rFonts w:ascii="Verdana" w:hAnsi="Verdana"/>
          <w:b/>
          <w:bCs/>
          <w:spacing w:val="-15"/>
          <w:bdr w:val="none" w:sz="0" w:space="0" w:color="auto" w:frame="1"/>
          <w:lang w:eastAsia="en-GB"/>
        </w:rPr>
        <w:t>Commented [B2]:</w:t>
      </w:r>
    </w:p>
    <w:p w:rsidR="00D02519" w:rsidRDefault="008A1FD6" w:rsidP="008A1FD6">
      <w:pPr>
        <w:jc w:val="both"/>
        <w:rPr>
          <w:rFonts w:ascii="Comic Sans MS" w:hAnsi="Comic Sans MS"/>
          <w:bdr w:val="none" w:sz="0" w:space="0" w:color="auto" w:frame="1"/>
          <w:lang w:eastAsia="en-GB"/>
        </w:rPr>
      </w:pPr>
      <w:r w:rsidRPr="008A1FD6">
        <w:rPr>
          <w:rFonts w:ascii="Comic Sans MS" w:hAnsi="Comic Sans MS"/>
          <w:bdr w:val="none" w:sz="0" w:space="0" w:color="auto" w:frame="1"/>
          <w:lang w:eastAsia="en-GB"/>
        </w:rPr>
        <w:t>Give a general view for higherinstitution. Do not restrict to FEDPOLADO </w:t>
      </w:r>
      <w:r w:rsidR="00B267C3">
        <w:rPr>
          <w:rFonts w:ascii="Comic Sans MS" w:hAnsi="Comic Sans MS"/>
          <w:bdr w:val="none" w:sz="0" w:space="0" w:color="auto" w:frame="1"/>
          <w:lang w:eastAsia="en-GB"/>
        </w:rPr>
        <w:t>–</w:t>
      </w:r>
      <w:r w:rsidRPr="008A1FD6">
        <w:rPr>
          <w:rFonts w:ascii="Comic Sans MS" w:hAnsi="Comic Sans MS"/>
          <w:bdr w:val="none" w:sz="0" w:space="0" w:color="auto" w:frame="1"/>
          <w:lang w:eastAsia="en-GB"/>
        </w:rPr>
        <w:t xml:space="preserve"> Remove</w:t>
      </w:r>
    </w:p>
    <w:p w:rsidR="00B267C3" w:rsidRDefault="00B267C3">
      <w:pPr>
        <w:rPr>
          <w:bdr w:val="none" w:sz="0" w:space="0" w:color="auto" w:frame="1"/>
          <w:lang w:eastAsia="en-GB"/>
        </w:rPr>
      </w:pPr>
      <w:r>
        <w:rPr>
          <w:bdr w:val="none" w:sz="0" w:space="0" w:color="auto" w:frame="1"/>
          <w:lang w:eastAsia="en-GB"/>
        </w:rPr>
        <w:br w:type="page"/>
      </w:r>
    </w:p>
    <w:p w:rsidR="00B267C3" w:rsidRPr="00B267C3" w:rsidRDefault="00B267C3" w:rsidP="00B267C3">
      <w:pPr>
        <w:rPr>
          <w:bdr w:val="none" w:sz="0" w:space="0" w:color="auto" w:frame="1"/>
          <w:lang w:eastAsia="en-GB"/>
        </w:rPr>
      </w:pPr>
    </w:p>
    <w:p w:rsidR="00B267C3" w:rsidRPr="00B267C3" w:rsidRDefault="00B267C3" w:rsidP="00B267C3">
      <w:pPr>
        <w:rPr>
          <w:bdr w:val="none" w:sz="0" w:space="0" w:color="auto" w:frame="1"/>
          <w:lang w:eastAsia="en-GB"/>
        </w:rPr>
      </w:pPr>
    </w:p>
    <w:p w:rsidR="00B267C3" w:rsidRDefault="00B267C3" w:rsidP="00B267C3">
      <w:pPr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</w:pPr>
      <w:r w:rsidRPr="00B267C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The new unified Grading System, was 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adjusted</w:t>
      </w:r>
      <w:r w:rsidRPr="00B267C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by the National Board for Technical Education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</w:t>
      </w:r>
      <w:r w:rsidRPr="00B267C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(NBTE) in 2016 for both HND (Higher National Diploma) and ND (National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</w:t>
      </w:r>
      <w:r w:rsidRPr="00B267C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Diploma).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 </w:t>
      </w:r>
      <w:r w:rsidRPr="00B267C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The NBTE unified grading system is shown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Marked Range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Letter Grade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Grade Point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75% above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A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4.00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70% - 74%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AB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3.50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65% - 69%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B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3.25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60% - 64%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BC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3.00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55% - 59%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2.75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50% - 54%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CD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2.50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45% - 49%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D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2.25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40% - 44%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E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2.00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Below 40%</w:t>
            </w: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</w:t>
            </w: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0.00</w:t>
            </w:r>
          </w:p>
        </w:tc>
      </w:tr>
      <w:tr w:rsidR="00B267C3" w:rsidTr="00B267C3"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  <w:tc>
          <w:tcPr>
            <w:tcW w:w="3005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  <w:tc>
          <w:tcPr>
            <w:tcW w:w="3006" w:type="dxa"/>
          </w:tcPr>
          <w:p w:rsidR="00B267C3" w:rsidRDefault="00B267C3" w:rsidP="00B267C3">
            <w:pPr>
              <w:jc w:val="both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</w:tbl>
    <w:p w:rsidR="00B267C3" w:rsidRPr="00B267C3" w:rsidRDefault="00B267C3" w:rsidP="00B267C3">
      <w:pPr>
        <w:jc w:val="both"/>
        <w:rPr>
          <w:rFonts w:ascii="Helvetica" w:eastAsia="Times New Roman" w:hAnsi="Helvetica" w:cs="Times New Roman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054C" w:rsidTr="0079054C">
        <w:tc>
          <w:tcPr>
            <w:tcW w:w="4508" w:type="dxa"/>
          </w:tcPr>
          <w:p w:rsidR="0079054C" w:rsidRDefault="0079054C" w:rsidP="00B267C3">
            <w:r>
              <w:t>CGPA</w:t>
            </w:r>
          </w:p>
        </w:tc>
        <w:tc>
          <w:tcPr>
            <w:tcW w:w="4508" w:type="dxa"/>
          </w:tcPr>
          <w:p w:rsidR="0079054C" w:rsidRDefault="0079054C" w:rsidP="00B267C3">
            <w:r>
              <w:t>Class of Diploma</w:t>
            </w:r>
            <w:bookmarkStart w:id="0" w:name="_GoBack"/>
            <w:bookmarkEnd w:id="0"/>
          </w:p>
        </w:tc>
      </w:tr>
      <w:tr w:rsidR="0079054C" w:rsidTr="0079054C">
        <w:tc>
          <w:tcPr>
            <w:tcW w:w="4508" w:type="dxa"/>
          </w:tcPr>
          <w:p w:rsidR="0079054C" w:rsidRDefault="0079054C" w:rsidP="00B267C3">
            <w:r>
              <w:t>3.50 above</w:t>
            </w:r>
          </w:p>
        </w:tc>
        <w:tc>
          <w:tcPr>
            <w:tcW w:w="4508" w:type="dxa"/>
          </w:tcPr>
          <w:p w:rsidR="0079054C" w:rsidRDefault="0079054C" w:rsidP="00B267C3">
            <w:r>
              <w:t>Distinction</w:t>
            </w:r>
          </w:p>
        </w:tc>
      </w:tr>
      <w:tr w:rsidR="0079054C" w:rsidTr="0079054C">
        <w:tc>
          <w:tcPr>
            <w:tcW w:w="4508" w:type="dxa"/>
          </w:tcPr>
          <w:p w:rsidR="0079054C" w:rsidRDefault="0079054C" w:rsidP="00B267C3">
            <w:r>
              <w:t>3.00 – 3.49</w:t>
            </w:r>
          </w:p>
        </w:tc>
        <w:tc>
          <w:tcPr>
            <w:tcW w:w="4508" w:type="dxa"/>
          </w:tcPr>
          <w:p w:rsidR="0079054C" w:rsidRDefault="0079054C" w:rsidP="00B267C3">
            <w:r>
              <w:t>Upper Credit</w:t>
            </w:r>
          </w:p>
        </w:tc>
      </w:tr>
      <w:tr w:rsidR="0079054C" w:rsidTr="0079054C">
        <w:tc>
          <w:tcPr>
            <w:tcW w:w="4508" w:type="dxa"/>
          </w:tcPr>
          <w:p w:rsidR="0079054C" w:rsidRDefault="0079054C" w:rsidP="00B267C3">
            <w:r>
              <w:t>2.50 – 2.99</w:t>
            </w:r>
          </w:p>
        </w:tc>
        <w:tc>
          <w:tcPr>
            <w:tcW w:w="4508" w:type="dxa"/>
          </w:tcPr>
          <w:p w:rsidR="0079054C" w:rsidRDefault="0079054C" w:rsidP="00B267C3">
            <w:r>
              <w:t>Lower Credit</w:t>
            </w:r>
          </w:p>
        </w:tc>
      </w:tr>
      <w:tr w:rsidR="0079054C" w:rsidTr="0079054C">
        <w:tc>
          <w:tcPr>
            <w:tcW w:w="4508" w:type="dxa"/>
          </w:tcPr>
          <w:p w:rsidR="0079054C" w:rsidRDefault="0079054C" w:rsidP="00B267C3">
            <w:r>
              <w:t>2.00 – 2.49</w:t>
            </w:r>
          </w:p>
        </w:tc>
        <w:tc>
          <w:tcPr>
            <w:tcW w:w="4508" w:type="dxa"/>
          </w:tcPr>
          <w:p w:rsidR="0079054C" w:rsidRDefault="0079054C" w:rsidP="00B267C3">
            <w:r>
              <w:t>Pass</w:t>
            </w:r>
          </w:p>
        </w:tc>
      </w:tr>
    </w:tbl>
    <w:p w:rsidR="00B267C3" w:rsidRPr="00B267C3" w:rsidRDefault="00B267C3" w:rsidP="00B267C3"/>
    <w:sectPr w:rsidR="00B267C3" w:rsidRPr="00B2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D6"/>
    <w:rsid w:val="00502105"/>
    <w:rsid w:val="0079054C"/>
    <w:rsid w:val="008A1FD6"/>
    <w:rsid w:val="00B267C3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7333"/>
  <w15:chartTrackingRefBased/>
  <w15:docId w15:val="{68DCA0A0-415A-4922-9683-62A974CD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A1FD6"/>
  </w:style>
  <w:style w:type="character" w:customStyle="1" w:styleId="l6">
    <w:name w:val="l6"/>
    <w:basedOn w:val="DefaultParagraphFont"/>
    <w:rsid w:val="008A1FD6"/>
  </w:style>
  <w:style w:type="table" w:styleId="TableGrid">
    <w:name w:val="Table Grid"/>
    <w:basedOn w:val="TableNormal"/>
    <w:uiPriority w:val="39"/>
    <w:rsid w:val="00B26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2019-08-14T22:49:00Z</dcterms:created>
  <dcterms:modified xsi:type="dcterms:W3CDTF">2019-08-14T23:13:00Z</dcterms:modified>
</cp:coreProperties>
</file>