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4C06B38C" w:rsidR="006B52CC" w:rsidRDefault="00C951A3" w:rsidP="006B52CC">
      <w:pPr>
        <w:pStyle w:val="Normal1"/>
        <w:jc w:val="center"/>
      </w:pPr>
      <w:r>
        <w:rPr>
          <w:rFonts w:ascii="Times New Roman" w:eastAsia="Times New Roman" w:hAnsi="Times New Roman" w:cs="Times New Roman"/>
        </w:rPr>
        <w:t xml:space="preserve">Release Date: </w:t>
      </w:r>
      <w:r w:rsidR="007E4B7B">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7C9CBDB3"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establishes OBDC connection to the desired SQL database server and executes SELECT, INSERT, UPDATE or DELETE SQL statements</w:t>
      </w:r>
      <w:r w:rsidR="00C432D0">
        <w:rPr>
          <w:rFonts w:ascii="Arial" w:eastAsia="Arial" w:hAnsi="Arial" w:cs="Arial"/>
          <w:sz w:val="20"/>
          <w:szCs w:val="20"/>
        </w:rPr>
        <w:t>.</w:t>
      </w:r>
    </w:p>
    <w:p w14:paraId="7264444A" w14:textId="4FDC9BC8" w:rsidR="00410E88" w:rsidRDefault="00E66222" w:rsidP="00E66222">
      <w:pPr>
        <w:pStyle w:val="BodyText"/>
        <w:rPr>
          <w:rFonts w:eastAsia="Arial" w:cs="Arial"/>
          <w:szCs w:val="20"/>
        </w:rPr>
      </w:pPr>
      <w:r>
        <w:t>T</w:t>
      </w:r>
      <w:r>
        <w:t xml:space="preserve">his package includes </w:t>
      </w:r>
      <w:r w:rsidR="00CE1431">
        <w:t>a Script file</w:t>
      </w:r>
      <w:r w:rsidR="009C6B7B">
        <w:t xml:space="preserve"> that creates </w:t>
      </w:r>
      <w:r w:rsidR="00CE1431">
        <w:t xml:space="preserve">a test 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updated by </w:t>
      </w:r>
      <w:r w:rsidR="00410E88">
        <w:rPr>
          <w:rFonts w:eastAsia="Arial" w:cs="Arial"/>
          <w:szCs w:val="20"/>
        </w:rPr>
        <w:t xml:space="preserve">the </w:t>
      </w:r>
      <w:r w:rsidR="00410E88">
        <w:rPr>
          <w:rFonts w:eastAsia="Arial" w:cs="Arial"/>
          <w:szCs w:val="20"/>
        </w:rPr>
        <w:t>SELECT statement workflow</w:t>
      </w:r>
      <w:r w:rsidR="00410E88">
        <w:rPr>
          <w:rFonts w:eastAsia="Arial" w:cs="Arial"/>
          <w:szCs w:val="20"/>
        </w:rPr>
        <w:t>.</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 xml:space="preserve">sudo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0BA7AEAA"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652EEDC4"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54646719" w14:textId="77777777" w:rsidR="000E2781" w:rsidRPr="000E2781" w:rsidRDefault="000E2781" w:rsidP="000E2781">
      <w:pPr>
        <w:pStyle w:val="Code0"/>
        <w:spacing w:before="0" w:after="0"/>
        <w:ind w:left="547"/>
        <w:rPr>
          <w:rFonts w:eastAsia="Cambria"/>
        </w:rPr>
      </w:pPr>
      <w:r w:rsidRPr="000E2781">
        <w:rPr>
          <w:rFonts w:eastAsia="Cambria"/>
        </w:rPr>
        <w:t># Define a list of restricted SQL statements, separated by a comma.</w:t>
      </w:r>
    </w:p>
    <w:p w14:paraId="2AD3FD54" w14:textId="77777777" w:rsidR="000E2781" w:rsidRPr="000E2781" w:rsidRDefault="000E2781" w:rsidP="000E2781">
      <w:pPr>
        <w:pStyle w:val="Code0"/>
        <w:spacing w:before="0" w:after="0"/>
        <w:ind w:left="547"/>
        <w:rPr>
          <w:rFonts w:eastAsia="Cambria"/>
        </w:rPr>
      </w:pPr>
      <w:r w:rsidRPr="000E2781">
        <w:rPr>
          <w:rFonts w:eastAsia="Cambria"/>
        </w:rPr>
        <w:t xml:space="preserve"># Example ["delete", "update", "insert"]. </w:t>
      </w:r>
    </w:p>
    <w:p w14:paraId="21AA51CA" w14:textId="77777777" w:rsidR="000E2781" w:rsidRPr="000E2781" w:rsidRDefault="000E2781" w:rsidP="000E2781">
      <w:pPr>
        <w:pStyle w:val="Code0"/>
        <w:spacing w:before="0" w:after="0"/>
        <w:ind w:left="547"/>
        <w:rPr>
          <w:rFonts w:eastAsia="Cambria"/>
        </w:rPr>
      </w:pPr>
      <w:r w:rsidRPr="000E2781">
        <w:rPr>
          <w:rFonts w:eastAsia="Cambria"/>
        </w:rPr>
        <w:t># Comment this line if there are no restrictions.</w:t>
      </w:r>
    </w:p>
    <w:p w14:paraId="1E1076CB" w14:textId="77777777" w:rsidR="000E2781" w:rsidRPr="000E2781" w:rsidRDefault="000E2781" w:rsidP="000E2781">
      <w:pPr>
        <w:pStyle w:val="Code0"/>
        <w:spacing w:before="0" w:after="0"/>
        <w:ind w:left="547"/>
        <w:rPr>
          <w:rFonts w:eastAsia="Cambria"/>
        </w:rPr>
      </w:pPr>
      <w:proofErr w:type="spellStart"/>
      <w:r w:rsidRPr="000E2781">
        <w:rPr>
          <w:rFonts w:eastAsia="Cambria"/>
        </w:rPr>
        <w:t>sql_restricted_sql_statements</w:t>
      </w:r>
      <w:proofErr w:type="spellEnd"/>
      <w:proofErr w:type="gramStart"/>
      <w:r w:rsidRPr="000E2781">
        <w:rPr>
          <w:rFonts w:eastAsia="Cambria"/>
        </w:rPr>
        <w:t>=[</w:t>
      </w:r>
      <w:proofErr w:type="gramEnd"/>
      <w:r w:rsidRPr="000E2781">
        <w:rPr>
          <w:rFonts w:eastAsia="Cambria"/>
        </w:rPr>
        <w:t>"delete", "insert", "update"]</w:t>
      </w:r>
    </w:p>
    <w:p w14:paraId="78AA1D5D" w14:textId="77777777" w:rsidR="000E2781" w:rsidRPr="000E2781" w:rsidRDefault="000E2781" w:rsidP="000E2781">
      <w:pPr>
        <w:pStyle w:val="Code0"/>
        <w:spacing w:before="0" w:after="0"/>
        <w:ind w:left="547"/>
        <w:rPr>
          <w:rFonts w:eastAsia="Cambria"/>
        </w:rPr>
      </w:pPr>
    </w:p>
    <w:p w14:paraId="31356DE6"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69C5E6CC" w14:textId="77777777" w:rsidR="000E2781" w:rsidRPr="000E2781" w:rsidRDefault="000E2781" w:rsidP="000E2781">
      <w:pPr>
        <w:pStyle w:val="Code0"/>
        <w:spacing w:before="0" w:after="0"/>
        <w:ind w:left="547"/>
        <w:rPr>
          <w:rFonts w:eastAsia="Cambria"/>
        </w:rPr>
      </w:pPr>
      <w:r w:rsidRPr="000E2781">
        <w:rPr>
          <w:rFonts w:eastAsia="Cambria"/>
        </w:rPr>
        <w:t># Define if you wish to execute commits automatically after every SQL statement.</w:t>
      </w:r>
    </w:p>
    <w:p w14:paraId="6833FC92" w14:textId="77777777" w:rsidR="000E2781" w:rsidRPr="000E2781" w:rsidRDefault="000E2781" w:rsidP="000E2781">
      <w:pPr>
        <w:pStyle w:val="Code0"/>
        <w:spacing w:before="0" w:after="0"/>
        <w:ind w:left="547"/>
        <w:rPr>
          <w:rFonts w:eastAsia="Cambria"/>
        </w:rPr>
      </w:pPr>
      <w:r w:rsidRPr="000E2781">
        <w:rPr>
          <w:rFonts w:eastAsia="Cambria"/>
        </w:rPr>
        <w:t># Comment this line to use false - the default.</w:t>
      </w:r>
    </w:p>
    <w:p w14:paraId="2D6D4C6D" w14:textId="77777777" w:rsidR="000E2781" w:rsidRPr="000E2781" w:rsidRDefault="000E2781" w:rsidP="000E2781">
      <w:pPr>
        <w:pStyle w:val="Code0"/>
        <w:spacing w:before="0" w:after="0"/>
        <w:ind w:left="547"/>
        <w:rPr>
          <w:rFonts w:eastAsia="Cambria"/>
        </w:rPr>
      </w:pPr>
      <w:proofErr w:type="spellStart"/>
      <w:r w:rsidRPr="000E2781">
        <w:rPr>
          <w:rFonts w:eastAsia="Cambria"/>
        </w:rPr>
        <w:t>sql_autocommit</w:t>
      </w:r>
      <w:proofErr w:type="spellEnd"/>
      <w:r w:rsidRPr="000E2781">
        <w:rPr>
          <w:rFonts w:eastAsia="Cambria"/>
        </w:rPr>
        <w:t>=true</w:t>
      </w:r>
    </w:p>
    <w:p w14:paraId="5519ADD7" w14:textId="77777777" w:rsidR="000E2781" w:rsidRPr="000E2781" w:rsidRDefault="000E2781" w:rsidP="000E2781">
      <w:pPr>
        <w:pStyle w:val="Code0"/>
        <w:spacing w:before="0" w:after="0"/>
        <w:ind w:left="547"/>
        <w:rPr>
          <w:rFonts w:eastAsia="Cambria"/>
        </w:rPr>
      </w:pPr>
    </w:p>
    <w:p w14:paraId="552EEC7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04319501" w14:textId="7B62E759" w:rsidR="000E2781" w:rsidRPr="000E2781" w:rsidRDefault="000E2781" w:rsidP="000E2781">
      <w:pPr>
        <w:pStyle w:val="Code0"/>
        <w:spacing w:before="0" w:after="0"/>
        <w:ind w:left="547"/>
        <w:rPr>
          <w:rFonts w:eastAsia="Cambria"/>
        </w:rPr>
      </w:pPr>
      <w:r>
        <w:rPr>
          <w:rFonts w:eastAsia="Cambria"/>
        </w:rPr>
        <w:t># Define a</w:t>
      </w:r>
      <w:r w:rsidRPr="000E2781">
        <w:rPr>
          <w:rFonts w:eastAsia="Cambria"/>
        </w:rPr>
        <w:t xml:space="preserve"> query timeout in seconds. </w:t>
      </w:r>
    </w:p>
    <w:p w14:paraId="7D2DF4B1" w14:textId="1B1071DD" w:rsidR="000E2781" w:rsidRPr="000E2781" w:rsidRDefault="000E2781" w:rsidP="000E2781">
      <w:pPr>
        <w:pStyle w:val="Code0"/>
        <w:spacing w:before="0" w:after="0"/>
        <w:ind w:left="547"/>
        <w:rPr>
          <w:rFonts w:eastAsia="Cambria"/>
        </w:rPr>
      </w:pPr>
      <w:r w:rsidRPr="000E2781">
        <w:rPr>
          <w:rFonts w:eastAsia="Cambria"/>
        </w:rPr>
        <w:t xml:space="preserve"># Comment this line to use the </w:t>
      </w:r>
      <w:r>
        <w:rPr>
          <w:rFonts w:eastAsia="Cambria"/>
        </w:rPr>
        <w:t>default</w:t>
      </w:r>
      <w:r w:rsidRPr="000E2781">
        <w:rPr>
          <w:rFonts w:eastAsia="Cambria"/>
        </w:rPr>
        <w:t xml:space="preserve"> 0, which means "no timeout".</w:t>
      </w:r>
    </w:p>
    <w:p w14:paraId="67112661" w14:textId="77777777" w:rsidR="000E2781" w:rsidRPr="000E2781" w:rsidRDefault="000E2781" w:rsidP="000E2781">
      <w:pPr>
        <w:pStyle w:val="Code0"/>
        <w:spacing w:before="0" w:after="0"/>
        <w:ind w:left="547"/>
        <w:rPr>
          <w:rFonts w:eastAsia="Cambria"/>
        </w:rPr>
      </w:pPr>
      <w:proofErr w:type="spellStart"/>
      <w:r w:rsidRPr="000E2781">
        <w:rPr>
          <w:rFonts w:eastAsia="Cambria"/>
        </w:rPr>
        <w:t>sql_query_timeout</w:t>
      </w:r>
      <w:proofErr w:type="spellEnd"/>
      <w:r w:rsidRPr="000E2781">
        <w:rPr>
          <w:rFonts w:eastAsia="Cambria"/>
        </w:rPr>
        <w:t>=10</w:t>
      </w:r>
    </w:p>
    <w:p w14:paraId="17FA4FA7" w14:textId="77777777" w:rsidR="000E2781" w:rsidRPr="000E2781" w:rsidRDefault="000E2781" w:rsidP="000E2781">
      <w:pPr>
        <w:pStyle w:val="Code0"/>
        <w:spacing w:before="0" w:after="0"/>
        <w:ind w:left="547"/>
        <w:rPr>
          <w:rFonts w:eastAsia="Cambria"/>
        </w:rPr>
      </w:pPr>
    </w:p>
    <w:p w14:paraId="4DB1E608" w14:textId="77777777" w:rsidR="000E2781" w:rsidRDefault="000E2781">
      <w:pPr>
        <w:rPr>
          <w:rFonts w:ascii="Courier New" w:eastAsia="Cambria" w:hAnsi="Courier New"/>
          <w:sz w:val="18"/>
          <w:szCs w:val="20"/>
        </w:rPr>
      </w:pPr>
      <w:r>
        <w:rPr>
          <w:rFonts w:eastAsia="Cambria"/>
        </w:rPr>
        <w:br w:type="page"/>
      </w:r>
    </w:p>
    <w:p w14:paraId="78CE692B" w14:textId="14990718" w:rsidR="000E2781" w:rsidRPr="000E2781" w:rsidRDefault="000E2781" w:rsidP="000E2781">
      <w:pPr>
        <w:pStyle w:val="Code0"/>
        <w:spacing w:before="0" w:after="0"/>
        <w:ind w:left="547"/>
        <w:rPr>
          <w:rFonts w:eastAsia="Cambria"/>
        </w:rPr>
      </w:pPr>
      <w:r w:rsidRPr="000E2781">
        <w:rPr>
          <w:rFonts w:eastAsia="Cambria"/>
        </w:rPr>
        <w:lastRenderedPageBreak/>
        <w:t># Optional setting</w:t>
      </w:r>
    </w:p>
    <w:p w14:paraId="21A59CF8" w14:textId="06C37CD7" w:rsidR="000E2781" w:rsidRPr="000E2781" w:rsidRDefault="000E2781" w:rsidP="000E2781">
      <w:pPr>
        <w:pStyle w:val="Code0"/>
        <w:spacing w:before="0" w:after="0"/>
        <w:ind w:left="547"/>
        <w:rPr>
          <w:rFonts w:eastAsia="Cambria"/>
        </w:rPr>
      </w:pPr>
      <w:r w:rsidRPr="000E2781">
        <w:rPr>
          <w:rFonts w:eastAsia="Cambria"/>
        </w:rPr>
        <w:t xml:space="preserve"># Encoding and decoding settings needed for your </w:t>
      </w:r>
      <w:r>
        <w:rPr>
          <w:rFonts w:eastAsia="Cambria"/>
        </w:rPr>
        <w:t xml:space="preserve">SQL </w:t>
      </w:r>
      <w:r w:rsidRPr="000E2781">
        <w:rPr>
          <w:rFonts w:eastAsia="Cambria"/>
        </w:rPr>
        <w:t>database.</w:t>
      </w:r>
    </w:p>
    <w:p w14:paraId="6983A3CB" w14:textId="77777777" w:rsidR="000E2781" w:rsidRPr="000E2781" w:rsidRDefault="000E2781" w:rsidP="000E2781">
      <w:pPr>
        <w:pStyle w:val="Code0"/>
        <w:spacing w:before="0" w:after="0"/>
        <w:ind w:left="547"/>
        <w:rPr>
          <w:rFonts w:eastAsia="Cambria"/>
        </w:rPr>
      </w:pPr>
      <w:r w:rsidRPr="000E2781">
        <w:rPr>
          <w:rFonts w:eastAsia="Cambria"/>
        </w:rPr>
        <w:t># Choose one of the supported database types MariaDB, PostgreSQL or MySQL.</w:t>
      </w:r>
    </w:p>
    <w:p w14:paraId="7A2F8A72" w14:textId="6C182E64" w:rsidR="000E2781" w:rsidRDefault="000E2781" w:rsidP="000E2781">
      <w:pPr>
        <w:pStyle w:val="Code0"/>
        <w:spacing w:before="0" w:after="0"/>
        <w:ind w:left="547"/>
        <w:rPr>
          <w:rFonts w:eastAsia="Cambria"/>
        </w:rPr>
      </w:pPr>
      <w:r w:rsidRPr="000E2781">
        <w:rPr>
          <w:rFonts w:eastAsia="Cambria"/>
        </w:rPr>
        <w:t xml:space="preserve"># </w:t>
      </w:r>
      <w:r w:rsidR="00911633" w:rsidRPr="00911633">
        <w:rPr>
          <w:rFonts w:eastAsia="Cambria"/>
        </w:rPr>
        <w:t>Define which one of supported SQL Server database settings you want to use.</w:t>
      </w:r>
    </w:p>
    <w:p w14:paraId="0D471B9C" w14:textId="5F93281B" w:rsidR="00911633" w:rsidRPr="000E2781" w:rsidRDefault="00911633" w:rsidP="000E2781">
      <w:pPr>
        <w:pStyle w:val="Code0"/>
        <w:spacing w:before="0" w:after="0"/>
        <w:ind w:left="547"/>
        <w:rPr>
          <w:rFonts w:eastAsia="Cambria"/>
        </w:rPr>
      </w:pPr>
      <w:r>
        <w:rPr>
          <w:rFonts w:eastAsia="Cambria"/>
        </w:rPr>
        <w:t xml:space="preserve"># </w:t>
      </w:r>
      <w:r w:rsidRPr="00911633">
        <w:rPr>
          <w:rFonts w:eastAsia="Cambria"/>
        </w:rPr>
        <w:t xml:space="preserve">At the moment MariaDB, PostgreSQL </w:t>
      </w:r>
      <w:r>
        <w:rPr>
          <w:rFonts w:eastAsia="Cambria"/>
        </w:rPr>
        <w:t>and</w:t>
      </w:r>
      <w:r w:rsidRPr="00911633">
        <w:rPr>
          <w:rFonts w:eastAsia="Cambria"/>
        </w:rPr>
        <w:t xml:space="preserve"> MySQL</w:t>
      </w:r>
      <w:r>
        <w:rPr>
          <w:rFonts w:eastAsia="Cambria"/>
        </w:rPr>
        <w:t xml:space="preserve"> are</w:t>
      </w:r>
      <w:r w:rsidRPr="00911633">
        <w:rPr>
          <w:rFonts w:eastAsia="Cambria"/>
        </w:rPr>
        <w:t xml:space="preserve"> supported.</w:t>
      </w:r>
    </w:p>
    <w:p w14:paraId="0CDF203E" w14:textId="6888BB91" w:rsidR="000E2781" w:rsidRDefault="000E2781" w:rsidP="000E2781">
      <w:pPr>
        <w:pStyle w:val="Code0"/>
        <w:spacing w:before="0" w:after="0"/>
        <w:ind w:left="547"/>
        <w:rPr>
          <w:rFonts w:eastAsia="Cambria"/>
        </w:rPr>
      </w:pPr>
      <w:r w:rsidRPr="000E2781">
        <w:rPr>
          <w:rFonts w:eastAsia="Cambria"/>
        </w:rPr>
        <w:t># Comment this line if you don't wish to configure decoding/encoding.</w:t>
      </w:r>
    </w:p>
    <w:p w14:paraId="66E4A27E" w14:textId="77777777" w:rsidR="000E2781" w:rsidRPr="000E2781" w:rsidRDefault="000E2781" w:rsidP="000E2781">
      <w:pPr>
        <w:pStyle w:val="Code0"/>
        <w:spacing w:before="0" w:after="0"/>
        <w:ind w:left="547"/>
        <w:rPr>
          <w:rFonts w:eastAsia="Cambria"/>
        </w:rPr>
      </w:pPr>
      <w:proofErr w:type="spellStart"/>
      <w:r w:rsidRPr="000E2781">
        <w:rPr>
          <w:rFonts w:eastAsia="Cambria"/>
        </w:rPr>
        <w:t>sql_database_type</w:t>
      </w:r>
      <w:proofErr w:type="spellEnd"/>
      <w:r w:rsidRPr="000E2781">
        <w:rPr>
          <w:rFonts w:eastAsia="Cambria"/>
        </w:rPr>
        <w:t>=MariaDB</w:t>
      </w:r>
    </w:p>
    <w:p w14:paraId="6C3AAFE9" w14:textId="77777777" w:rsidR="000E2781" w:rsidRPr="000E2781" w:rsidRDefault="000E2781" w:rsidP="000E2781">
      <w:pPr>
        <w:pStyle w:val="Code0"/>
        <w:spacing w:before="0" w:after="0"/>
        <w:ind w:left="547"/>
        <w:rPr>
          <w:rFonts w:eastAsia="Cambria"/>
        </w:rPr>
      </w:pPr>
    </w:p>
    <w:p w14:paraId="227B6C5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73F71DD7" w14:textId="77777777" w:rsidR="000E2781" w:rsidRPr="000E2781" w:rsidRDefault="000E2781" w:rsidP="000E2781">
      <w:pPr>
        <w:pStyle w:val="Code0"/>
        <w:spacing w:before="0" w:after="0"/>
        <w:ind w:left="547"/>
        <w:rPr>
          <w:rFonts w:eastAsia="Cambria"/>
        </w:rPr>
      </w:pPr>
      <w:r w:rsidRPr="000E2781">
        <w:rPr>
          <w:rFonts w:eastAsia="Cambria"/>
        </w:rPr>
        <w:t xml:space="preserve"># Define number of rows to fetch. </w:t>
      </w:r>
    </w:p>
    <w:p w14:paraId="6CC63874" w14:textId="7D8FE063" w:rsidR="00C40E68" w:rsidRPr="000E2781" w:rsidRDefault="000E2781" w:rsidP="00C40E68">
      <w:pPr>
        <w:pStyle w:val="Code0"/>
        <w:spacing w:before="0" w:after="0"/>
        <w:ind w:left="547"/>
        <w:rPr>
          <w:rFonts w:eastAsia="Cambria"/>
        </w:rPr>
      </w:pPr>
      <w:r w:rsidRPr="000E2781">
        <w:rPr>
          <w:rFonts w:eastAsia="Cambria"/>
        </w:rPr>
        <w:t># Comment this line to fetch all.</w:t>
      </w:r>
    </w:p>
    <w:p w14:paraId="7B384D10" w14:textId="5A5F9704" w:rsidR="000E2781" w:rsidRPr="00A94618" w:rsidRDefault="000E2781" w:rsidP="00A94618">
      <w:pPr>
        <w:pStyle w:val="Code0"/>
        <w:spacing w:before="0" w:after="0"/>
        <w:ind w:left="547"/>
        <w:rPr>
          <w:rFonts w:eastAsia="Cambria"/>
        </w:rPr>
      </w:pPr>
      <w:proofErr w:type="spellStart"/>
      <w:r w:rsidRPr="000E2781">
        <w:rPr>
          <w:rFonts w:eastAsia="Cambria"/>
        </w:rPr>
        <w:t>sql_number_of_records_returned</w:t>
      </w:r>
      <w:proofErr w:type="spellEnd"/>
      <w:r w:rsidRPr="000E2781">
        <w:rPr>
          <w:rFonts w:eastAsia="Cambria"/>
        </w:rPr>
        <w:t>=10</w:t>
      </w:r>
    </w:p>
    <w:p w14:paraId="6DF15F57" w14:textId="77777777" w:rsidR="00507B72" w:rsidRDefault="00507B72" w:rsidP="00507B72">
      <w:pPr>
        <w:pStyle w:val="Heading7"/>
      </w:pPr>
    </w:p>
    <w:p w14:paraId="75C316F5" w14:textId="7732A377" w:rsidR="00507B72" w:rsidRDefault="00507B72" w:rsidP="00507B72">
      <w:pPr>
        <w:pStyle w:val="Heading7"/>
      </w:pPr>
      <w:r>
        <w:t xml:space="preserve">Connecting to </w:t>
      </w:r>
      <w:r w:rsidR="00E0547E">
        <w:t>a database</w:t>
      </w:r>
    </w:p>
    <w:p w14:paraId="028D5558" w14:textId="264784F3"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E0547E">
        <w:rPr>
          <w:rFonts w:eastAsia="Cambria"/>
        </w:rPr>
        <w:t>here</w:t>
      </w:r>
      <w:r w:rsidRPr="00C40E68">
        <w:rPr>
          <w:rFonts w:eastAsia="Cambria"/>
        </w:rPr>
        <w:t xml:space="preserve"> </w:t>
      </w:r>
      <w:hyperlink r:id="rId10" w:history="1">
        <w:r w:rsidRPr="00507B72">
          <w:rPr>
            <w:rStyle w:val="Hyperlink"/>
            <w:rFonts w:eastAsia="Cambria"/>
          </w:rPr>
          <w:t>http://www.connectionstrings.com</w:t>
        </w:r>
      </w:hyperlink>
      <w:r w:rsidR="00507B72">
        <w:rPr>
          <w:rFonts w:eastAsia="Cambria"/>
        </w:rPr>
        <w:t>.</w:t>
      </w:r>
    </w:p>
    <w:p w14:paraId="5A87B391" w14:textId="5AC8B817" w:rsidR="00E0547E" w:rsidRDefault="00E0547E" w:rsidP="00E0547E">
      <w:pPr>
        <w:pStyle w:val="BodyText"/>
        <w:rPr>
          <w:rFonts w:eastAsia="Cambria"/>
        </w:rPr>
      </w:pPr>
      <w:r>
        <w:rPr>
          <w:rFonts w:eastAsia="Cambria"/>
        </w:rPr>
        <w:t>A</w:t>
      </w:r>
      <w:r w:rsidR="00DB705E">
        <w:rPr>
          <w:rFonts w:eastAsia="Cambria"/>
        </w:rPr>
        <w:t xml:space="preserve"> standard </w:t>
      </w:r>
      <w:r>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DB02F2B" w14:textId="13A02A8E" w:rsidR="00F33F4A" w:rsidRDefault="00F33F4A" w:rsidP="009A711B">
      <w:pPr>
        <w:pStyle w:val="Heading20"/>
      </w:pPr>
      <w:r>
        <w:t>Deploy customizations to the Resilient platform</w:t>
      </w:r>
    </w:p>
    <w:p w14:paraId="1B0E6F06" w14:textId="568ECFD6" w:rsidR="00F33F4A" w:rsidRDefault="00F33F4A" w:rsidP="00790D0A">
      <w:pPr>
        <w:pStyle w:val="BodyText"/>
      </w:pPr>
      <w:r w:rsidRPr="009A711B">
        <w:t>The package contains function definition</w:t>
      </w:r>
      <w:r w:rsidR="0014545E">
        <w:t>s that you can use in workflows</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3F9C490C" w14:textId="77777777" w:rsidR="003D1439" w:rsidRDefault="003D1439">
      <w:pPr>
        <w:rPr>
          <w:rFonts w:ascii="Calibri" w:eastAsia="Calibri" w:hAnsi="Calibri" w:cs="Calibri"/>
          <w:b/>
          <w:color w:val="1F497D" w:themeColor="text2"/>
          <w:sz w:val="36"/>
          <w:szCs w:val="36"/>
        </w:rPr>
      </w:pPr>
      <w:bookmarkStart w:id="4" w:name="_Toc510253272"/>
      <w:bookmarkEnd w:id="3"/>
      <w:r>
        <w:br w:type="page"/>
      </w:r>
    </w:p>
    <w:p w14:paraId="1903D526" w14:textId="2AC76C8E" w:rsidR="004F6CA4" w:rsidRPr="004943EC" w:rsidRDefault="004F6CA4" w:rsidP="004F6CA4">
      <w:pPr>
        <w:pStyle w:val="Heading10"/>
        <w:rPr>
          <w:rFonts w:ascii="Arial" w:eastAsia="Times New Roman" w:hAnsi="Arial" w:cs="Times New Roman"/>
          <w:color w:val="auto"/>
          <w:sz w:val="20"/>
        </w:rPr>
      </w:pPr>
      <w:r>
        <w:lastRenderedPageBreak/>
        <w:t>Function Descriptions</w:t>
      </w:r>
    </w:p>
    <w:p w14:paraId="2A67C55F" w14:textId="53AA4BEA"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functions can be used. You can copy and modify these workflows and rules for your own needs.</w:t>
      </w:r>
    </w:p>
    <w:p w14:paraId="09AEB8C6" w14:textId="77777777" w:rsidR="003D1439" w:rsidRDefault="003D1439" w:rsidP="003D1439">
      <w:pPr>
        <w:pStyle w:val="BodyText"/>
        <w:keepNext/>
        <w:jc w:val="center"/>
      </w:pPr>
      <w:r>
        <w:rPr>
          <w:noProof/>
        </w:rPr>
        <w:drawing>
          <wp:inline distT="0" distB="0" distL="0" distR="0" wp14:anchorId="176AFC03" wp14:editId="6037CA3A">
            <wp:extent cx="54864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1"/>
                    <a:stretch>
                      <a:fillRect/>
                    </a:stretch>
                  </pic:blipFill>
                  <pic:spPr>
                    <a:xfrm>
                      <a:off x="0" y="0"/>
                      <a:ext cx="5486400" cy="4575175"/>
                    </a:xfrm>
                    <a:prstGeom prst="rect">
                      <a:avLst/>
                    </a:prstGeom>
                  </pic:spPr>
                </pic:pic>
              </a:graphicData>
            </a:graphic>
          </wp:inline>
        </w:drawing>
      </w:r>
    </w:p>
    <w:p w14:paraId="0258FBFB" w14:textId="3AEE4B92" w:rsidR="003D1439" w:rsidRPr="003D1439" w:rsidRDefault="003D1439" w:rsidP="003D1439">
      <w:pPr>
        <w:pStyle w:val="Caption"/>
        <w:jc w:val="center"/>
      </w:pPr>
      <w:r>
        <w:t xml:space="preserve">Figure </w:t>
      </w:r>
      <w:r>
        <w:fldChar w:fldCharType="begin"/>
      </w:r>
      <w:r>
        <w:instrText xml:space="preserve"> SEQ Figure \* ARABIC </w:instrText>
      </w:r>
      <w:r>
        <w:fldChar w:fldCharType="separate"/>
      </w:r>
      <w:r w:rsidR="000D0763">
        <w:rPr>
          <w:noProof/>
        </w:rPr>
        <w:t>1</w:t>
      </w:r>
      <w:r>
        <w:fldChar w:fldCharType="end"/>
      </w:r>
      <w:r>
        <w:t>: ODBC Function</w:t>
      </w:r>
    </w:p>
    <w:p w14:paraId="456853A7" w14:textId="35F0475D" w:rsidR="004F6CA4" w:rsidRDefault="000A059F" w:rsidP="009A711B">
      <w:pPr>
        <w:pStyle w:val="Heading20"/>
      </w:pPr>
      <w:r>
        <w:t xml:space="preserve">ODBC Query: </w:t>
      </w:r>
      <w:proofErr w:type="spellStart"/>
      <w:r w:rsidR="003D1439">
        <w:t>fn_odbc_query</w:t>
      </w:r>
      <w:proofErr w:type="spellEnd"/>
    </w:p>
    <w:p w14:paraId="5AE0F4D5" w14:textId="38C0F8CB" w:rsidR="003D1439" w:rsidRDefault="003D1439" w:rsidP="003D1439">
      <w:pPr>
        <w:pStyle w:val="BodyText"/>
      </w:pPr>
      <w:r>
        <w:t xml:space="preserve">A function that runs ODBC queries. </w:t>
      </w:r>
      <w:r w:rsidR="009B341F">
        <w:t>Query and the data/p</w:t>
      </w:r>
      <w:r>
        <w:t xml:space="preserve">arameters are passed to the database separately, protecting against SQL injection attacks. </w:t>
      </w:r>
    </w:p>
    <w:p w14:paraId="163AE1C0" w14:textId="14744C34" w:rsidR="003D1439" w:rsidRDefault="009B341F" w:rsidP="003D1439">
      <w:pPr>
        <w:pStyle w:val="BodyText"/>
        <w:rPr>
          <w:rFonts w:eastAsia="Arial" w:cs="Arial"/>
          <w:szCs w:val="20"/>
        </w:rPr>
      </w:pPr>
      <w:r>
        <w:rPr>
          <w:rFonts w:eastAsia="Arial" w:cs="Arial"/>
          <w:szCs w:val="20"/>
        </w:rPr>
        <w:t>As shown above, this function takes the following input fields:</w:t>
      </w:r>
    </w:p>
    <w:p w14:paraId="4737E5CF" w14:textId="73AF1689" w:rsidR="00FF48FD" w:rsidRPr="00657D64" w:rsidRDefault="009B341F" w:rsidP="00657D64">
      <w:pPr>
        <w:pStyle w:val="BodyText"/>
        <w:numPr>
          <w:ilvl w:val="0"/>
          <w:numId w:val="30"/>
        </w:numPr>
        <w:rPr>
          <w:rFonts w:eastAsia="Arial"/>
        </w:rPr>
      </w:pPr>
      <w:proofErr w:type="spellStart"/>
      <w:r>
        <w:rPr>
          <w:rFonts w:eastAsia="Arial" w:cs="Arial"/>
          <w:szCs w:val="20"/>
        </w:rPr>
        <w:t>sql_query</w:t>
      </w:r>
      <w:proofErr w:type="spellEnd"/>
      <w:r w:rsidR="00863C95">
        <w:rPr>
          <w:rFonts w:eastAsia="Arial" w:cs="Arial"/>
          <w:szCs w:val="20"/>
        </w:rPr>
        <w:t>: Q</w:t>
      </w:r>
      <w:r>
        <w:rPr>
          <w:rFonts w:eastAsia="Arial" w:cs="Arial"/>
          <w:szCs w:val="20"/>
        </w:rPr>
        <w:t>uery to perform.</w:t>
      </w:r>
      <w:r w:rsidR="0010379D">
        <w:rPr>
          <w:rFonts w:eastAsia="Arial" w:cs="Arial"/>
          <w:szCs w:val="20"/>
        </w:rPr>
        <w:t xml:space="preserve"> </w:t>
      </w:r>
      <w:r w:rsidR="0010379D">
        <w:t>It</w:t>
      </w:r>
      <w:r w:rsidR="0010379D">
        <w:t xml:space="preserve"> is a “Text with value String</w:t>
      </w:r>
      <w:r w:rsidR="0010379D">
        <w:t xml:space="preserve">” type of filed and </w:t>
      </w:r>
      <w:r w:rsidR="0010379D">
        <w:rPr>
          <w:rFonts w:eastAsia="Arial" w:cs="Arial"/>
          <w:szCs w:val="20"/>
        </w:rPr>
        <w:t>i</w:t>
      </w:r>
      <w:r>
        <w:rPr>
          <w:rFonts w:eastAsia="Arial" w:cs="Arial"/>
          <w:szCs w:val="20"/>
        </w:rPr>
        <w:t xml:space="preserve">t contains </w:t>
      </w:r>
      <w:r w:rsidR="0010379D">
        <w:rPr>
          <w:rFonts w:eastAsia="Arial" w:cs="Arial"/>
          <w:szCs w:val="20"/>
        </w:rPr>
        <w:t xml:space="preserve">four </w:t>
      </w:r>
      <w:r w:rsidR="00FF48FD">
        <w:rPr>
          <w:rFonts w:eastAsia="Arial" w:cs="Arial"/>
          <w:szCs w:val="20"/>
        </w:rPr>
        <w:t xml:space="preserve">predefined </w:t>
      </w:r>
      <w:r w:rsidR="00C207D7">
        <w:rPr>
          <w:rFonts w:eastAsia="Arial" w:cs="Arial"/>
          <w:szCs w:val="20"/>
        </w:rPr>
        <w:t>example SQL statements</w:t>
      </w:r>
      <w:r>
        <w:rPr>
          <w:rFonts w:eastAsia="Arial" w:cs="Arial"/>
          <w:szCs w:val="20"/>
        </w:rPr>
        <w:t xml:space="preserve"> that you can choose and </w:t>
      </w:r>
      <w:r w:rsidR="00C207D7">
        <w:rPr>
          <w:rFonts w:eastAsia="Arial" w:cs="Arial"/>
          <w:szCs w:val="20"/>
        </w:rPr>
        <w:t xml:space="preserve">also </w:t>
      </w:r>
      <w:r>
        <w:rPr>
          <w:rFonts w:eastAsia="Arial" w:cs="Arial"/>
          <w:szCs w:val="20"/>
        </w:rPr>
        <w:t xml:space="preserve">edit from within the workflow. The </w:t>
      </w:r>
      <w:r w:rsidR="00C207D7">
        <w:rPr>
          <w:rFonts w:eastAsia="Arial" w:cs="Arial"/>
          <w:szCs w:val="20"/>
        </w:rPr>
        <w:t>predefined</w:t>
      </w:r>
      <w:r>
        <w:rPr>
          <w:rFonts w:eastAsia="Arial" w:cs="Arial"/>
          <w:szCs w:val="20"/>
        </w:rPr>
        <w:t xml:space="preserve"> queries</w:t>
      </w:r>
      <w:r w:rsidR="00C207D7">
        <w:rPr>
          <w:rFonts w:eastAsia="Arial" w:cs="Arial"/>
          <w:szCs w:val="20"/>
        </w:rPr>
        <w:t>,</w:t>
      </w:r>
      <w:r>
        <w:rPr>
          <w:rFonts w:eastAsia="Arial" w:cs="Arial"/>
          <w:szCs w:val="20"/>
        </w:rPr>
        <w:t xml:space="preserve"> </w:t>
      </w:r>
      <w:r w:rsidR="00C207D7">
        <w:rPr>
          <w:rFonts w:eastAsia="Arial" w:cs="Arial"/>
          <w:szCs w:val="20"/>
        </w:rPr>
        <w:t xml:space="preserve">as shown in Figure 2, </w:t>
      </w:r>
      <w:r>
        <w:rPr>
          <w:rFonts w:eastAsia="Arial" w:cs="Arial"/>
          <w:szCs w:val="20"/>
        </w:rPr>
        <w:t xml:space="preserve">contain parameters </w:t>
      </w:r>
      <w:r w:rsidR="00FA072F">
        <w:rPr>
          <w:rFonts w:eastAsia="Arial" w:cs="Arial"/>
          <w:szCs w:val="20"/>
        </w:rPr>
        <w:t>using a question mark as a place holder in the SQL</w:t>
      </w:r>
      <w:r w:rsidR="00863C95">
        <w:rPr>
          <w:rFonts w:eastAsia="Arial" w:cs="Arial"/>
          <w:szCs w:val="20"/>
        </w:rPr>
        <w:t xml:space="preserve"> query</w:t>
      </w:r>
      <w:r w:rsidR="00FA072F">
        <w:rPr>
          <w:rFonts w:eastAsia="Arial" w:cs="Arial"/>
          <w:szCs w:val="20"/>
        </w:rPr>
        <w:t xml:space="preserve">. </w:t>
      </w:r>
      <w:r w:rsidR="00863C95">
        <w:rPr>
          <w:rFonts w:eastAsia="Arial" w:cs="Arial"/>
          <w:szCs w:val="20"/>
        </w:rPr>
        <w:t>Users can</w:t>
      </w:r>
      <w:r w:rsidR="00FA072F">
        <w:rPr>
          <w:rFonts w:eastAsia="Arial" w:cs="Arial"/>
          <w:szCs w:val="20"/>
        </w:rPr>
        <w:t xml:space="preserve"> </w:t>
      </w:r>
      <w:r w:rsidR="00863C95">
        <w:rPr>
          <w:rFonts w:eastAsia="Arial" w:cs="Arial"/>
          <w:szCs w:val="20"/>
        </w:rPr>
        <w:t>set</w:t>
      </w:r>
      <w:r w:rsidR="00FA072F">
        <w:rPr>
          <w:rFonts w:eastAsia="Arial" w:cs="Arial"/>
          <w:szCs w:val="20"/>
        </w:rPr>
        <w:t xml:space="preserve"> values for the question marks by </w:t>
      </w:r>
      <w:r w:rsidR="00863C95">
        <w:rPr>
          <w:rFonts w:eastAsia="Arial" w:cs="Arial"/>
          <w:szCs w:val="20"/>
        </w:rPr>
        <w:t>setting them in input fields</w:t>
      </w:r>
      <w:r w:rsidR="00F0536C">
        <w:rPr>
          <w:rFonts w:eastAsia="Arial" w:cs="Arial"/>
          <w:szCs w:val="20"/>
        </w:rPr>
        <w:t xml:space="preserve"> </w:t>
      </w:r>
      <w:r w:rsidR="00F0536C">
        <w:rPr>
          <w:rFonts w:eastAsia="Arial"/>
        </w:rPr>
        <w:t>sql_condition_value1</w:t>
      </w:r>
      <w:r w:rsidR="00F0536C">
        <w:rPr>
          <w:rFonts w:eastAsia="Arial"/>
        </w:rPr>
        <w:t xml:space="preserve">, </w:t>
      </w:r>
      <w:r w:rsidR="00F0536C">
        <w:rPr>
          <w:rFonts w:eastAsia="Arial"/>
        </w:rPr>
        <w:t>sql_condition_value</w:t>
      </w:r>
      <w:r w:rsidR="00F0536C">
        <w:rPr>
          <w:rFonts w:eastAsia="Arial"/>
        </w:rPr>
        <w:t xml:space="preserve">2 and </w:t>
      </w:r>
      <w:r w:rsidR="00F0536C">
        <w:rPr>
          <w:rFonts w:eastAsia="Arial"/>
        </w:rPr>
        <w:t>sql_condition_value</w:t>
      </w:r>
      <w:r w:rsidR="00863C95">
        <w:rPr>
          <w:rFonts w:eastAsia="Arial"/>
        </w:rPr>
        <w:t>3 in the workflow.</w:t>
      </w:r>
    </w:p>
    <w:p w14:paraId="01B6C402" w14:textId="28F3099C" w:rsidR="00F0536C" w:rsidRPr="00FA072F" w:rsidRDefault="00F0536C" w:rsidP="00F0536C">
      <w:pPr>
        <w:pStyle w:val="BodyText"/>
        <w:numPr>
          <w:ilvl w:val="0"/>
          <w:numId w:val="30"/>
        </w:numPr>
        <w:rPr>
          <w:rFonts w:eastAsia="Arial"/>
        </w:rPr>
      </w:pPr>
      <w:r>
        <w:rPr>
          <w:rFonts w:eastAsia="Arial"/>
        </w:rPr>
        <w:t xml:space="preserve">sql_condition_value1, </w:t>
      </w:r>
      <w:r>
        <w:rPr>
          <w:rFonts w:eastAsia="Arial"/>
        </w:rPr>
        <w:t>sql_condition_value</w:t>
      </w:r>
      <w:r>
        <w:rPr>
          <w:rFonts w:eastAsia="Arial"/>
        </w:rPr>
        <w:t xml:space="preserve">2 and </w:t>
      </w:r>
      <w:r>
        <w:rPr>
          <w:rFonts w:eastAsia="Arial"/>
        </w:rPr>
        <w:t>sql_condition_value</w:t>
      </w:r>
      <w:r w:rsidR="00030D58">
        <w:rPr>
          <w:rFonts w:eastAsia="Arial"/>
        </w:rPr>
        <w:t>3: P</w:t>
      </w:r>
      <w:r>
        <w:rPr>
          <w:rFonts w:eastAsia="Arial"/>
        </w:rPr>
        <w:t>arameters used in the query</w:t>
      </w:r>
      <w:r w:rsidR="00030D58">
        <w:rPr>
          <w:rFonts w:eastAsia="Arial"/>
        </w:rPr>
        <w:t>.</w:t>
      </w:r>
    </w:p>
    <w:p w14:paraId="7E42DDB2" w14:textId="77777777" w:rsidR="00657D64" w:rsidRDefault="00657D64" w:rsidP="00657D64">
      <w:pPr>
        <w:pStyle w:val="Heading7"/>
      </w:pPr>
      <w:r>
        <w:rPr>
          <w:noProof/>
        </w:rPr>
        <w:lastRenderedPageBreak/>
        <w:drawing>
          <wp:inline distT="0" distB="0" distL="0" distR="0" wp14:anchorId="3A2C16E9" wp14:editId="27979BB8">
            <wp:extent cx="5486400" cy="4408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5 at 2.17.06 PM.png"/>
                    <pic:cNvPicPr/>
                  </pic:nvPicPr>
                  <pic:blipFill>
                    <a:blip r:embed="rId12"/>
                    <a:stretch>
                      <a:fillRect/>
                    </a:stretch>
                  </pic:blipFill>
                  <pic:spPr>
                    <a:xfrm>
                      <a:off x="0" y="0"/>
                      <a:ext cx="5486400" cy="4408805"/>
                    </a:xfrm>
                    <a:prstGeom prst="rect">
                      <a:avLst/>
                    </a:prstGeom>
                  </pic:spPr>
                </pic:pic>
              </a:graphicData>
            </a:graphic>
          </wp:inline>
        </w:drawing>
      </w:r>
    </w:p>
    <w:p w14:paraId="155F2254" w14:textId="162DFEF4" w:rsidR="00CE4850" w:rsidRDefault="00657D64" w:rsidP="00657D64">
      <w:pPr>
        <w:pStyle w:val="Caption"/>
        <w:jc w:val="center"/>
      </w:pPr>
      <w:r>
        <w:t xml:space="preserve">Figure </w:t>
      </w:r>
      <w:r>
        <w:fldChar w:fldCharType="begin"/>
      </w:r>
      <w:r>
        <w:instrText xml:space="preserve"> SEQ Figure \* ARABIC </w:instrText>
      </w:r>
      <w:r>
        <w:fldChar w:fldCharType="separate"/>
      </w:r>
      <w:r w:rsidR="000D0763">
        <w:rPr>
          <w:noProof/>
        </w:rPr>
        <w:t>2</w:t>
      </w:r>
      <w:r>
        <w:fldChar w:fldCharType="end"/>
      </w:r>
      <w:r>
        <w:t xml:space="preserve">: </w:t>
      </w:r>
      <w:r w:rsidRPr="00825725">
        <w:t xml:space="preserve">Predefined SQL statements </w:t>
      </w:r>
      <w:r>
        <w:t>for</w:t>
      </w:r>
      <w:r w:rsidRPr="00825725">
        <w:t xml:space="preserve"> the '</w:t>
      </w:r>
      <w:proofErr w:type="spellStart"/>
      <w:r w:rsidRPr="00825725">
        <w:t>sql_query</w:t>
      </w:r>
      <w:proofErr w:type="spellEnd"/>
      <w:r w:rsidRPr="00825725">
        <w:t>' input field</w:t>
      </w:r>
    </w:p>
    <w:p w14:paraId="1D56A84A" w14:textId="77777777" w:rsidR="00657D64" w:rsidRDefault="00657D64" w:rsidP="00CE4850">
      <w:pPr>
        <w:pStyle w:val="Heading7"/>
      </w:pPr>
    </w:p>
    <w:p w14:paraId="4BF3F915" w14:textId="7E3DA101" w:rsidR="00CE4850" w:rsidRDefault="00CE4850" w:rsidP="00CE4850">
      <w:pPr>
        <w:pStyle w:val="Heading7"/>
      </w:pPr>
      <w:r w:rsidRPr="009824B2">
        <w:t>Example ODBC SELECT PostgreSQL</w:t>
      </w:r>
    </w:p>
    <w:p w14:paraId="4AB60E04" w14:textId="0BB6306F" w:rsidR="003D1439" w:rsidRDefault="00F0536C" w:rsidP="009824B2">
      <w:pPr>
        <w:pStyle w:val="BodyText"/>
      </w:pPr>
      <w:r w:rsidRPr="00030D58">
        <w:t xml:space="preserve">The </w:t>
      </w:r>
      <w:r w:rsidR="00800F81">
        <w:t xml:space="preserve">example </w:t>
      </w:r>
      <w:r w:rsidR="00030D58" w:rsidRPr="00030D58">
        <w:t>workflow (object type = Artif</w:t>
      </w:r>
      <w:r w:rsidR="00030D58">
        <w:t xml:space="preserve">act) that calls this </w:t>
      </w:r>
      <w:r w:rsidR="00030D58" w:rsidRPr="009824B2">
        <w:t xml:space="preserve">function is “Example ODBC </w:t>
      </w:r>
      <w:r w:rsidR="00B75F2F" w:rsidRPr="009824B2">
        <w:t>SELECT</w:t>
      </w:r>
      <w:r w:rsidR="00030D58" w:rsidRPr="009824B2">
        <w:t xml:space="preserve"> PostgreSQL”. The Input tab of this fu</w:t>
      </w:r>
      <w:r w:rsidR="00800F81">
        <w:t>nction is shown in Figure 3</w:t>
      </w:r>
      <w:r w:rsidR="009824B2">
        <w:t xml:space="preserve">. When defining </w:t>
      </w:r>
      <w:r w:rsidR="0010379D">
        <w:t>the</w:t>
      </w:r>
      <w:r w:rsidR="00706FDA">
        <w:t xml:space="preserve"> SQL</w:t>
      </w:r>
      <w:r w:rsidR="0010379D">
        <w:t xml:space="preserve"> </w:t>
      </w:r>
      <w:r w:rsidR="0029109A">
        <w:t xml:space="preserve">table </w:t>
      </w:r>
      <w:r w:rsidR="00C40E68">
        <w:t>column names</w:t>
      </w:r>
      <w:r w:rsidR="0010379D">
        <w:t xml:space="preserve"> that</w:t>
      </w:r>
      <w:r w:rsidR="009824B2">
        <w:t xml:space="preserve"> SELECT</w:t>
      </w:r>
      <w:r w:rsidR="0010379D">
        <w:t xml:space="preserve"> query will return</w:t>
      </w:r>
      <w:r w:rsidR="009824B2">
        <w:t xml:space="preserve"> it’s important to use </w:t>
      </w:r>
      <w:r w:rsidR="00FA47A5">
        <w:rPr>
          <w:rFonts w:ascii="Helvetica" w:eastAsia="Cambria" w:hAnsi="Helvetica" w:cs="Helvetica"/>
        </w:rPr>
        <w:t>alias column s</w:t>
      </w:r>
      <w:r w:rsidR="00FA47A5">
        <w:rPr>
          <w:rFonts w:ascii="Helvetica" w:eastAsia="Cambria" w:hAnsi="Helvetica" w:cs="Helvetica"/>
        </w:rPr>
        <w:t>yntax</w:t>
      </w:r>
      <w:r w:rsidR="00322790">
        <w:rPr>
          <w:rFonts w:ascii="Helvetica" w:eastAsia="Cambria" w:hAnsi="Helvetica" w:cs="Helvetica"/>
        </w:rPr>
        <w:t>. Alias names need to</w:t>
      </w:r>
      <w:r w:rsidR="00B75F2F" w:rsidRPr="009824B2">
        <w:t xml:space="preserve"> match Res</w:t>
      </w:r>
      <w:r w:rsidR="009824B2">
        <w:t xml:space="preserve">ilient data table field names. This will make sure query results are saved in the proper </w:t>
      </w:r>
      <w:r w:rsidR="00322790">
        <w:t>Resilient data table field</w:t>
      </w:r>
      <w:r w:rsidR="009824B2">
        <w:t>.</w:t>
      </w:r>
    </w:p>
    <w:p w14:paraId="5717A559" w14:textId="77777777" w:rsidR="00B75F2F" w:rsidRDefault="00B75F2F" w:rsidP="00B75F2F">
      <w:pPr>
        <w:pStyle w:val="BodyText"/>
        <w:keepNext/>
      </w:pPr>
      <w:r>
        <w:rPr>
          <w:noProof/>
        </w:rPr>
        <w:drawing>
          <wp:inline distT="0" distB="0" distL="0" distR="0" wp14:anchorId="32AE4B79" wp14:editId="64B337E3">
            <wp:extent cx="5486400" cy="179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3"/>
                    <a:stretch>
                      <a:fillRect/>
                    </a:stretch>
                  </pic:blipFill>
                  <pic:spPr>
                    <a:xfrm>
                      <a:off x="0" y="0"/>
                      <a:ext cx="5486400" cy="1798955"/>
                    </a:xfrm>
                    <a:prstGeom prst="rect">
                      <a:avLst/>
                    </a:prstGeom>
                  </pic:spPr>
                </pic:pic>
              </a:graphicData>
            </a:graphic>
          </wp:inline>
        </w:drawing>
      </w:r>
    </w:p>
    <w:p w14:paraId="7FEB16E1" w14:textId="7EF651C2" w:rsidR="00B75F2F" w:rsidRDefault="00B75F2F" w:rsidP="00B75F2F">
      <w:pPr>
        <w:pStyle w:val="Caption"/>
        <w:jc w:val="center"/>
      </w:pPr>
      <w:r>
        <w:t xml:space="preserve">Figure </w:t>
      </w:r>
      <w:r>
        <w:fldChar w:fldCharType="begin"/>
      </w:r>
      <w:r>
        <w:instrText xml:space="preserve"> SEQ Figure \* ARABIC </w:instrText>
      </w:r>
      <w:r>
        <w:fldChar w:fldCharType="separate"/>
      </w:r>
      <w:r w:rsidR="000D0763">
        <w:rPr>
          <w:noProof/>
        </w:rPr>
        <w:t>3</w:t>
      </w:r>
      <w:r>
        <w:fldChar w:fldCharType="end"/>
      </w:r>
      <w:r>
        <w:t>: Example SQL SELECT statement</w:t>
      </w:r>
    </w:p>
    <w:p w14:paraId="7690A1C5" w14:textId="77777777" w:rsidR="00CE4850" w:rsidRDefault="00CE4850" w:rsidP="00B75F2F">
      <w:pPr>
        <w:pStyle w:val="BodyText"/>
      </w:pPr>
    </w:p>
    <w:p w14:paraId="35785708" w14:textId="470B05CD" w:rsidR="003312EE" w:rsidRDefault="00800F81" w:rsidP="00B75F2F">
      <w:pPr>
        <w:pStyle w:val="BodyText"/>
      </w:pPr>
      <w:r>
        <w:lastRenderedPageBreak/>
        <w:t>Users</w:t>
      </w:r>
      <w:r w:rsidR="003312EE">
        <w:t xml:space="preserve"> may insert data using parameter</w:t>
      </w:r>
      <w:r w:rsidR="003312EE">
        <w:t>s</w:t>
      </w:r>
      <w:r w:rsidR="003312EE">
        <w:t xml:space="preserve"> sql_condition_value1, sql_condition_value2 and sql_condition_value3 on the Input tab or set them in the Pre-Process Script to the value of the artifact associated with thi</w:t>
      </w:r>
      <w:r>
        <w:t>s workflow as shown in Figure 4</w:t>
      </w:r>
      <w:r w:rsidR="003312EE">
        <w:t>.</w:t>
      </w:r>
    </w:p>
    <w:p w14:paraId="5153E706" w14:textId="77777777" w:rsidR="00B75F2F" w:rsidRDefault="00B75F2F" w:rsidP="00B75F2F">
      <w:pPr>
        <w:pStyle w:val="BodyText"/>
        <w:keepNext/>
      </w:pPr>
      <w:r>
        <w:rPr>
          <w:noProof/>
        </w:rPr>
        <w:drawing>
          <wp:inline distT="0" distB="0" distL="0" distR="0" wp14:anchorId="23892EBE" wp14:editId="7DD3B513">
            <wp:extent cx="5486400" cy="1205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4"/>
                    <a:stretch>
                      <a:fillRect/>
                    </a:stretch>
                  </pic:blipFill>
                  <pic:spPr>
                    <a:xfrm>
                      <a:off x="0" y="0"/>
                      <a:ext cx="5486400" cy="1205865"/>
                    </a:xfrm>
                    <a:prstGeom prst="rect">
                      <a:avLst/>
                    </a:prstGeom>
                  </pic:spPr>
                </pic:pic>
              </a:graphicData>
            </a:graphic>
          </wp:inline>
        </w:drawing>
      </w:r>
    </w:p>
    <w:p w14:paraId="07DC306E" w14:textId="1CA32C30" w:rsidR="00B75F2F" w:rsidRDefault="00B75F2F" w:rsidP="00B75F2F">
      <w:pPr>
        <w:pStyle w:val="Caption"/>
        <w:jc w:val="center"/>
      </w:pPr>
      <w:r>
        <w:t xml:space="preserve">Figure </w:t>
      </w:r>
      <w:r>
        <w:fldChar w:fldCharType="begin"/>
      </w:r>
      <w:r>
        <w:instrText xml:space="preserve"> SEQ Figure \* ARABIC </w:instrText>
      </w:r>
      <w:r>
        <w:fldChar w:fldCharType="separate"/>
      </w:r>
      <w:r w:rsidR="000D0763">
        <w:rPr>
          <w:noProof/>
        </w:rPr>
        <w:t>4</w:t>
      </w:r>
      <w:r>
        <w:fldChar w:fldCharType="end"/>
      </w:r>
      <w:r>
        <w:t xml:space="preserve">: </w:t>
      </w:r>
      <w:r w:rsidR="000468FD">
        <w:t xml:space="preserve">Example </w:t>
      </w:r>
      <w:r>
        <w:t>Pre-process Script for SELECT</w:t>
      </w:r>
      <w:r w:rsidR="000468FD">
        <w:t>, DELETE</w:t>
      </w:r>
      <w:r w:rsidR="00B667CB">
        <w:t>, INSERT</w:t>
      </w:r>
      <w:r>
        <w:t xml:space="preserve"> statement</w:t>
      </w:r>
      <w:r w:rsidR="00B667CB">
        <w:t>s</w:t>
      </w:r>
    </w:p>
    <w:p w14:paraId="59300F13" w14:textId="77777777" w:rsidR="00CE4850" w:rsidRDefault="00CE4850" w:rsidP="009824B2">
      <w:pPr>
        <w:pStyle w:val="BodyText"/>
      </w:pPr>
    </w:p>
    <w:p w14:paraId="3A9F827D" w14:textId="3C8F5C99" w:rsidR="007B3B76" w:rsidRPr="00800F81" w:rsidRDefault="00524DA5" w:rsidP="00800F81">
      <w:pPr>
        <w:pStyle w:val="BodyText"/>
      </w:pPr>
      <w:r>
        <w:t>A Menu Item rule called “Example ODBC SELECT PostgreSQL” is also included. This rule calls the provided workflow.</w:t>
      </w:r>
    </w:p>
    <w:p w14:paraId="18D8C658" w14:textId="77777777" w:rsidR="00800F81" w:rsidRDefault="00330231" w:rsidP="009824B2">
      <w:pPr>
        <w:pStyle w:val="BodyText"/>
        <w:rPr>
          <w:rFonts w:eastAsia="Cambria"/>
        </w:rPr>
      </w:pPr>
      <w:r>
        <w:t>With these components in place, users can click the Actions button and the above r</w:t>
      </w:r>
      <w:r w:rsidR="00BA7E66">
        <w:t>ule appears</w:t>
      </w:r>
      <w:r>
        <w:t xml:space="preserve">. By clicking the menu item, the ODBC Query function is activated. The query results update the custom Resilient data table called </w:t>
      </w:r>
      <w:r w:rsidRPr="00330231">
        <w:t>“</w:t>
      </w:r>
      <w:proofErr w:type="spellStart"/>
      <w:r w:rsidRPr="00330231">
        <w:rPr>
          <w:rFonts w:eastAsia="Cambria"/>
        </w:rPr>
        <w:t>sql_query_results_dt</w:t>
      </w:r>
      <w:proofErr w:type="spellEnd"/>
      <w:r>
        <w:rPr>
          <w:rFonts w:eastAsia="Cambria"/>
        </w:rPr>
        <w:t>” s</w:t>
      </w:r>
      <w:r w:rsidR="00800F81">
        <w:rPr>
          <w:rFonts w:eastAsia="Cambria"/>
        </w:rPr>
        <w:t>hown in Figure 5</w:t>
      </w:r>
      <w:r>
        <w:rPr>
          <w:rFonts w:eastAsia="Cambria"/>
        </w:rPr>
        <w:t>. The definition of this data table is also included in the package.</w:t>
      </w:r>
      <w:r w:rsidR="00B667CB">
        <w:rPr>
          <w:rFonts w:eastAsia="Cambria"/>
        </w:rPr>
        <w:t xml:space="preserve"> </w:t>
      </w:r>
    </w:p>
    <w:p w14:paraId="3411FA6B" w14:textId="7D5CBC80" w:rsidR="00330231" w:rsidRDefault="00B667CB" w:rsidP="009824B2">
      <w:pPr>
        <w:pStyle w:val="BodyText"/>
        <w:rPr>
          <w:rFonts w:eastAsia="Cambria"/>
        </w:rPr>
      </w:pPr>
      <w:r>
        <w:rPr>
          <w:rFonts w:eastAsia="Cambria"/>
        </w:rPr>
        <w:t>F</w:t>
      </w:r>
      <w:r w:rsidRPr="00B667CB">
        <w:rPr>
          <w:rFonts w:eastAsia="Cambria"/>
        </w:rPr>
        <w:t xml:space="preserve">ist two </w:t>
      </w:r>
      <w:r w:rsidR="005347F3">
        <w:rPr>
          <w:rFonts w:eastAsia="Cambria"/>
        </w:rPr>
        <w:t>data table fields</w:t>
      </w:r>
      <w:r>
        <w:rPr>
          <w:rFonts w:eastAsia="Cambria"/>
        </w:rPr>
        <w:t xml:space="preserve"> are set automatically</w:t>
      </w:r>
      <w:r w:rsidR="0029109A">
        <w:rPr>
          <w:rFonts w:eastAsia="Cambria"/>
        </w:rPr>
        <w:t>,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sidR="0029109A">
        <w:rPr>
          <w:rFonts w:eastAsia="Cambria"/>
        </w:rPr>
        <w:t xml:space="preserve">is set </w:t>
      </w:r>
      <w:r>
        <w:rPr>
          <w:rFonts w:eastAsia="Cambria"/>
        </w:rPr>
        <w:t xml:space="preserve">to the value of the artifact </w:t>
      </w:r>
      <w:r>
        <w:t>associated with this workflow</w:t>
      </w:r>
      <w:r w:rsidR="0029109A">
        <w:t xml:space="preserve"> and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is set to date and time of the function call. All </w:t>
      </w:r>
      <w:r w:rsidR="00800F81">
        <w:rPr>
          <w:rFonts w:eastAsia="Cambria"/>
        </w:rPr>
        <w:t>other</w:t>
      </w:r>
      <w:r w:rsidR="0029109A">
        <w:rPr>
          <w:rFonts w:eastAsia="Cambria"/>
        </w:rPr>
        <w:t xml:space="preserve"> </w:t>
      </w:r>
      <w:r w:rsidR="005347F3">
        <w:rPr>
          <w:rFonts w:eastAsia="Cambria"/>
        </w:rPr>
        <w:t>data table fields</w:t>
      </w:r>
      <w:r w:rsidR="00800F81">
        <w:rPr>
          <w:rFonts w:eastAsia="Cambria"/>
        </w:rPr>
        <w:t xml:space="preserve"> ‘sql_column_1’ to ‘sql_column_5’</w:t>
      </w:r>
      <w:r w:rsidR="0029109A">
        <w:rPr>
          <w:rFonts w:eastAsia="Cambria"/>
        </w:rPr>
        <w:t xml:space="preserve"> are </w:t>
      </w:r>
      <w:r w:rsidR="005347F3">
        <w:rPr>
          <w:rFonts w:eastAsia="Cambria"/>
        </w:rPr>
        <w:t xml:space="preserve">updated by the </w:t>
      </w:r>
      <w:r w:rsidR="00F540F4">
        <w:rPr>
          <w:rFonts w:eastAsia="Cambria"/>
        </w:rPr>
        <w:t>query results.</w:t>
      </w:r>
    </w:p>
    <w:p w14:paraId="6D408252" w14:textId="77777777" w:rsidR="00800F81" w:rsidRDefault="00AF373F" w:rsidP="00800F81">
      <w:pPr>
        <w:pStyle w:val="BodyText"/>
        <w:keepNext/>
      </w:pPr>
      <w:r>
        <w:rPr>
          <w:rFonts w:eastAsia="Cambria"/>
          <w:noProof/>
        </w:rPr>
        <w:drawing>
          <wp:inline distT="0" distB="0" distL="0" distR="0" wp14:anchorId="79BA1060" wp14:editId="2FCDE730">
            <wp:extent cx="5486400" cy="3451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15"/>
                    <a:stretch>
                      <a:fillRect/>
                    </a:stretch>
                  </pic:blipFill>
                  <pic:spPr>
                    <a:xfrm>
                      <a:off x="0" y="0"/>
                      <a:ext cx="5486400" cy="3451860"/>
                    </a:xfrm>
                    <a:prstGeom prst="rect">
                      <a:avLst/>
                    </a:prstGeom>
                  </pic:spPr>
                </pic:pic>
              </a:graphicData>
            </a:graphic>
          </wp:inline>
        </w:drawing>
      </w:r>
    </w:p>
    <w:p w14:paraId="0E7D01AC" w14:textId="72296DC1" w:rsidR="00CE4850" w:rsidRDefault="00800F81" w:rsidP="00B56DFC">
      <w:pPr>
        <w:pStyle w:val="Caption"/>
        <w:jc w:val="center"/>
      </w:pPr>
      <w:r>
        <w:t xml:space="preserve">Figure </w:t>
      </w:r>
      <w:r>
        <w:fldChar w:fldCharType="begin"/>
      </w:r>
      <w:r>
        <w:instrText xml:space="preserve"> SEQ Figure \* ARABIC </w:instrText>
      </w:r>
      <w:r>
        <w:fldChar w:fldCharType="separate"/>
      </w:r>
      <w:r w:rsidR="000D0763">
        <w:rPr>
          <w:noProof/>
        </w:rPr>
        <w:t>5</w:t>
      </w:r>
      <w:r>
        <w:fldChar w:fldCharType="end"/>
      </w:r>
      <w:r>
        <w:t xml:space="preserve">: </w:t>
      </w:r>
      <w:r w:rsidRPr="001F49C7">
        <w:t>Menu items and Data table</w:t>
      </w:r>
    </w:p>
    <w:p w14:paraId="1845C0AE" w14:textId="77777777" w:rsidR="000D0763" w:rsidRDefault="000D0763">
      <w:pPr>
        <w:rPr>
          <w:rFonts w:ascii="Arial" w:hAnsi="Arial"/>
          <w:sz w:val="20"/>
        </w:rPr>
      </w:pPr>
      <w:r>
        <w:br w:type="page"/>
      </w:r>
    </w:p>
    <w:p w14:paraId="0C784445" w14:textId="28356888" w:rsidR="000D0763" w:rsidRDefault="00B56DFC" w:rsidP="000D0763">
      <w:pPr>
        <w:pStyle w:val="BodyT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 xml:space="preserve">data table, add or remove </w:t>
      </w:r>
      <w:r w:rsidR="000D0763">
        <w:t xml:space="preserve">any </w:t>
      </w:r>
      <w:r>
        <w:t xml:space="preserve">fields. </w:t>
      </w:r>
      <w:r w:rsidR="000D0763">
        <w:t>To ensure</w:t>
      </w:r>
      <w:r w:rsidR="000D0763">
        <w:t xml:space="preserve"> </w:t>
      </w:r>
      <w:r w:rsidR="000D0763">
        <w:t xml:space="preserve">SQL </w:t>
      </w:r>
      <w:r w:rsidR="000D0763">
        <w:t xml:space="preserve">query results </w:t>
      </w:r>
      <w:r w:rsidR="000D0763">
        <w:t xml:space="preserve">are </w:t>
      </w:r>
      <w:r w:rsidR="000D0763">
        <w:t>sav</w:t>
      </w:r>
      <w:r w:rsidR="000D0763">
        <w:t xml:space="preserve">ed in </w:t>
      </w:r>
      <w:r w:rsidR="000D0763">
        <w:t xml:space="preserve">proper </w:t>
      </w:r>
      <w:r w:rsidR="000D0763">
        <w:t xml:space="preserve">Resilient </w:t>
      </w:r>
      <w:r w:rsidR="000D0763">
        <w:t>data table field</w:t>
      </w:r>
      <w:r w:rsidR="000D0763">
        <w:t xml:space="preserve">s, users need to modify the </w:t>
      </w:r>
      <w:r w:rsidR="000D0763" w:rsidRPr="000D0763">
        <w:t>RESILENT_DATATABLE_COLUMN_NAMES_LIST</w:t>
      </w:r>
      <w:r w:rsidR="000D0763">
        <w:t xml:space="preserve"> in the Post-Process Script as shown in Figure 6.</w:t>
      </w:r>
    </w:p>
    <w:p w14:paraId="208A28D8" w14:textId="77777777" w:rsidR="000D0763" w:rsidRDefault="000D0763" w:rsidP="000D0763">
      <w:pPr>
        <w:pStyle w:val="BodyText"/>
        <w:keepNext/>
      </w:pPr>
      <w:r>
        <w:rPr>
          <w:noProof/>
        </w:rPr>
        <w:drawing>
          <wp:inline distT="0" distB="0" distL="0" distR="0" wp14:anchorId="2D548EB8" wp14:editId="19711FEC">
            <wp:extent cx="548640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16"/>
                    <a:stretch>
                      <a:fillRect/>
                    </a:stretch>
                  </pic:blipFill>
                  <pic:spPr>
                    <a:xfrm>
                      <a:off x="0" y="0"/>
                      <a:ext cx="5486400" cy="3582035"/>
                    </a:xfrm>
                    <a:prstGeom prst="rect">
                      <a:avLst/>
                    </a:prstGeom>
                  </pic:spPr>
                </pic:pic>
              </a:graphicData>
            </a:graphic>
          </wp:inline>
        </w:drawing>
      </w:r>
    </w:p>
    <w:p w14:paraId="6F4DA136" w14:textId="4BC55E30" w:rsidR="000D0763" w:rsidRDefault="000D0763" w:rsidP="000D076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Post-Process Script for SELECT statement</w:t>
      </w:r>
    </w:p>
    <w:p w14:paraId="2452ED29" w14:textId="2DFE2033" w:rsidR="007B3B76" w:rsidRPr="00012089" w:rsidRDefault="00CE4850" w:rsidP="00012089">
      <w:pPr>
        <w:pStyle w:val="Heading7"/>
      </w:pPr>
      <w:r w:rsidRPr="009824B2">
        <w:t xml:space="preserve">Example ODBC </w:t>
      </w:r>
      <w:r>
        <w:t>UPDATE</w:t>
      </w:r>
      <w:r w:rsidRPr="009824B2">
        <w:t xml:space="preserve"> PostgreSQL</w:t>
      </w:r>
    </w:p>
    <w:p w14:paraId="06E80AFB" w14:textId="1D341D50" w:rsidR="00CE4850" w:rsidRDefault="009824B2" w:rsidP="00CE4850">
      <w:pPr>
        <w:pStyle w:val="BodyText"/>
      </w:pPr>
      <w:r w:rsidRPr="00030D58">
        <w:t>The example workflow (object type = Artif</w:t>
      </w:r>
      <w:r>
        <w:t xml:space="preserve">act) that calls this </w:t>
      </w:r>
      <w:r w:rsidRPr="009824B2">
        <w:t xml:space="preserve">function is “Example ODBC </w:t>
      </w:r>
      <w:r>
        <w:t>UPDATE</w:t>
      </w:r>
      <w:r w:rsidRPr="009824B2">
        <w:t xml:space="preserve"> PostgreSQL”. The Input tab of this fu</w:t>
      </w:r>
      <w:r w:rsidR="00CE4850">
        <w:t>nction is shown in Figure</w:t>
      </w:r>
      <w:r w:rsidR="00800F81">
        <w:t xml:space="preserve"> 6</w:t>
      </w:r>
      <w:r w:rsidR="00CE4850">
        <w:t xml:space="preserve">. </w:t>
      </w:r>
    </w:p>
    <w:p w14:paraId="11A04735" w14:textId="77777777" w:rsidR="00800F81" w:rsidRDefault="00717FA9" w:rsidP="00800F81">
      <w:pPr>
        <w:pStyle w:val="BodyText"/>
        <w:keepNext/>
      </w:pPr>
      <w:r>
        <w:rPr>
          <w:noProof/>
        </w:rPr>
        <w:drawing>
          <wp:inline distT="0" distB="0" distL="0" distR="0" wp14:anchorId="51BA5EBE" wp14:editId="35668F5E">
            <wp:extent cx="5486400" cy="1964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5 at 1.08.40 PM.png"/>
                    <pic:cNvPicPr/>
                  </pic:nvPicPr>
                  <pic:blipFill>
                    <a:blip r:embed="rId17"/>
                    <a:stretch>
                      <a:fillRect/>
                    </a:stretch>
                  </pic:blipFill>
                  <pic:spPr>
                    <a:xfrm>
                      <a:off x="0" y="0"/>
                      <a:ext cx="5486400" cy="1964690"/>
                    </a:xfrm>
                    <a:prstGeom prst="rect">
                      <a:avLst/>
                    </a:prstGeom>
                  </pic:spPr>
                </pic:pic>
              </a:graphicData>
            </a:graphic>
          </wp:inline>
        </w:drawing>
      </w:r>
    </w:p>
    <w:p w14:paraId="7786BE35" w14:textId="0DC29BBE" w:rsidR="00717FA9" w:rsidRDefault="00800F81" w:rsidP="00800F81">
      <w:pPr>
        <w:pStyle w:val="Caption"/>
        <w:jc w:val="center"/>
      </w:pPr>
      <w:r>
        <w:t xml:space="preserve">Figure </w:t>
      </w:r>
      <w:r>
        <w:fldChar w:fldCharType="begin"/>
      </w:r>
      <w:r>
        <w:instrText xml:space="preserve"> SEQ Figure \* ARABIC </w:instrText>
      </w:r>
      <w:r>
        <w:fldChar w:fldCharType="separate"/>
      </w:r>
      <w:r w:rsidR="000D0763">
        <w:rPr>
          <w:noProof/>
        </w:rPr>
        <w:t>7</w:t>
      </w:r>
      <w:r>
        <w:fldChar w:fldCharType="end"/>
      </w:r>
      <w:r>
        <w:t xml:space="preserve">: </w:t>
      </w:r>
      <w:r w:rsidRPr="00CD43F5">
        <w:t>Example of SQL UPDATE statement</w:t>
      </w:r>
    </w:p>
    <w:p w14:paraId="6CA7B317" w14:textId="27DDB12F" w:rsidR="00717FA9" w:rsidRDefault="00717FA9">
      <w:pPr>
        <w:rPr>
          <w:rFonts w:ascii="Arial" w:hAnsi="Arial"/>
          <w:sz w:val="20"/>
        </w:rPr>
      </w:pPr>
    </w:p>
    <w:p w14:paraId="14485941" w14:textId="77777777" w:rsidR="00A7247E" w:rsidRDefault="00A7247E">
      <w:pPr>
        <w:rPr>
          <w:rFonts w:ascii="Arial" w:hAnsi="Arial"/>
          <w:sz w:val="20"/>
        </w:rPr>
      </w:pPr>
      <w:r>
        <w:br w:type="page"/>
      </w:r>
    </w:p>
    <w:p w14:paraId="0DC617CA" w14:textId="3D30CD7F" w:rsidR="002539A0" w:rsidRDefault="00800F81" w:rsidP="002539A0">
      <w:pPr>
        <w:pStyle w:val="BodyText"/>
      </w:pPr>
      <w:r>
        <w:lastRenderedPageBreak/>
        <w:t>Users</w:t>
      </w:r>
      <w:r w:rsidR="002539A0">
        <w:t xml:space="preserve"> may insert data using parameter</w:t>
      </w:r>
      <w:r w:rsidR="003312EE">
        <w:t>s</w:t>
      </w:r>
      <w:r w:rsidR="002539A0">
        <w:t xml:space="preserve"> sql_condition_value1, sql_condition_value2 and sql_condition_v</w:t>
      </w:r>
      <w:r w:rsidR="002539A0">
        <w:t>alue3 on the Input tab or set them</w:t>
      </w:r>
      <w:r w:rsidR="002539A0">
        <w:t xml:space="preserve"> in the Pre-Process Script to the value</w:t>
      </w:r>
      <w:r w:rsidR="002539A0">
        <w:t xml:space="preserve"> and description</w:t>
      </w:r>
      <w:r w:rsidR="002539A0">
        <w:t xml:space="preserve"> of the artifact associated with thi</w:t>
      </w:r>
      <w:r>
        <w:t>s workflow as shown in Figure 7</w:t>
      </w:r>
      <w:r w:rsidR="002539A0">
        <w:t>.</w:t>
      </w:r>
    </w:p>
    <w:p w14:paraId="4BC1AF82" w14:textId="77777777" w:rsidR="00800F81" w:rsidRDefault="00717FA9" w:rsidP="00800F81">
      <w:pPr>
        <w:pStyle w:val="BodyText"/>
        <w:keepNext/>
      </w:pPr>
      <w:r>
        <w:rPr>
          <w:noProof/>
        </w:rPr>
        <w:drawing>
          <wp:inline distT="0" distB="0" distL="0" distR="0" wp14:anchorId="12BBCE08" wp14:editId="5D3BF23B">
            <wp:extent cx="5486400" cy="1087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18"/>
                    <a:stretch>
                      <a:fillRect/>
                    </a:stretch>
                  </pic:blipFill>
                  <pic:spPr>
                    <a:xfrm>
                      <a:off x="0" y="0"/>
                      <a:ext cx="5486400" cy="1087755"/>
                    </a:xfrm>
                    <a:prstGeom prst="rect">
                      <a:avLst/>
                    </a:prstGeom>
                  </pic:spPr>
                </pic:pic>
              </a:graphicData>
            </a:graphic>
          </wp:inline>
        </w:drawing>
      </w:r>
    </w:p>
    <w:p w14:paraId="39713365" w14:textId="42F22FDD" w:rsidR="00717FA9" w:rsidRDefault="00800F81" w:rsidP="00800F81">
      <w:pPr>
        <w:pStyle w:val="Caption"/>
        <w:jc w:val="center"/>
      </w:pPr>
      <w:r>
        <w:t xml:space="preserve">Figure </w:t>
      </w:r>
      <w:r>
        <w:fldChar w:fldCharType="begin"/>
      </w:r>
      <w:r>
        <w:instrText xml:space="preserve"> SEQ Figure \* ARABIC </w:instrText>
      </w:r>
      <w:r>
        <w:fldChar w:fldCharType="separate"/>
      </w:r>
      <w:r w:rsidR="000D0763">
        <w:rPr>
          <w:noProof/>
        </w:rPr>
        <w:t>8</w:t>
      </w:r>
      <w:r>
        <w:fldChar w:fldCharType="end"/>
      </w:r>
      <w:r>
        <w:t xml:space="preserve">: </w:t>
      </w:r>
      <w:r w:rsidRPr="004C7B31">
        <w:t>Pre-process Script for UPDATE statement</w:t>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06AD227F" w14:textId="208D208E" w:rsidR="00BA7E66" w:rsidRDefault="00BA7E66" w:rsidP="00BA7E66">
      <w:pPr>
        <w:pStyle w:val="BodyText"/>
      </w:pPr>
      <w:r>
        <w:t>U</w:t>
      </w:r>
      <w:r>
        <w:t>sers can click the Actions button and the above r</w:t>
      </w:r>
      <w:r w:rsidR="00800F81">
        <w:t>ule appears as shown in Figure 5</w:t>
      </w:r>
      <w:r>
        <w:t xml:space="preserve">. By clicking the menu item, the ODBC Query function is activated. The </w:t>
      </w:r>
      <w:r>
        <w:t xml:space="preserve">function will return number of </w:t>
      </w:r>
      <w:r w:rsidR="00800F81">
        <w:t xml:space="preserve">processed </w:t>
      </w:r>
      <w:r>
        <w:t xml:space="preserve">rows and display </w:t>
      </w:r>
      <w:r w:rsidR="000468FD">
        <w:t>the</w:t>
      </w:r>
      <w:r>
        <w:t xml:space="preserve"> message in </w:t>
      </w:r>
      <w:r w:rsidR="00800F81">
        <w:t xml:space="preserve">the </w:t>
      </w:r>
      <w:r>
        <w:t xml:space="preserve">Action Status. </w:t>
      </w:r>
    </w:p>
    <w:p w14:paraId="6126B031" w14:textId="77777777" w:rsidR="00A7247E" w:rsidRDefault="00A7247E" w:rsidP="00BA7E66">
      <w:pPr>
        <w:pStyle w:val="BodyText"/>
      </w:pPr>
      <w:bookmarkStart w:id="5" w:name="_GoBack"/>
      <w:bookmarkEnd w:id="5"/>
    </w:p>
    <w:p w14:paraId="65FC7BB9" w14:textId="7FCDD14F" w:rsidR="00BA7E66" w:rsidRPr="00A7247E" w:rsidRDefault="00BA7E66" w:rsidP="00A7247E">
      <w:pPr>
        <w:pStyle w:val="Heading7"/>
      </w:pPr>
      <w:r w:rsidRPr="009824B2">
        <w:t xml:space="preserve">Example ODBC </w:t>
      </w:r>
      <w:r>
        <w:t>DELETE</w:t>
      </w:r>
      <w:r w:rsidRPr="009824B2">
        <w:t xml:space="preserve"> PostgreSQL</w:t>
      </w:r>
    </w:p>
    <w:p w14:paraId="4625A85B" w14:textId="318FC918" w:rsidR="00BA7E66" w:rsidRDefault="00BA7E66" w:rsidP="00BA7E66">
      <w:pPr>
        <w:pStyle w:val="BodyText"/>
      </w:pPr>
      <w:r w:rsidRPr="00030D58">
        <w:t>The example workflow (object type = Artif</w:t>
      </w:r>
      <w:r>
        <w:t xml:space="preserve">act) that calls this </w:t>
      </w:r>
      <w:r w:rsidRPr="009824B2">
        <w:t xml:space="preserve">function is “Example ODBC </w:t>
      </w:r>
      <w:r w:rsidR="000468FD">
        <w:t>DELETE</w:t>
      </w:r>
      <w:r w:rsidRPr="009824B2">
        <w:t xml:space="preserve"> PostgreSQL”. The Input tab of this fu</w:t>
      </w:r>
      <w:r>
        <w:t>nction is shown in Figure</w:t>
      </w:r>
      <w:r w:rsidR="00800F81">
        <w:t xml:space="preserve"> 8</w:t>
      </w:r>
      <w:r>
        <w:t xml:space="preserve">. </w:t>
      </w:r>
    </w:p>
    <w:p w14:paraId="10805C79" w14:textId="77777777" w:rsidR="00800F81" w:rsidRDefault="00BA7E66" w:rsidP="00800F81">
      <w:pPr>
        <w:pStyle w:val="BodyText"/>
        <w:keepNext/>
      </w:pPr>
      <w:r>
        <w:rPr>
          <w:noProof/>
        </w:rPr>
        <w:drawing>
          <wp:inline distT="0" distB="0" distL="0" distR="0" wp14:anchorId="7F76BE86" wp14:editId="15333049">
            <wp:extent cx="5486400" cy="2348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19"/>
                    <a:stretch>
                      <a:fillRect/>
                    </a:stretch>
                  </pic:blipFill>
                  <pic:spPr>
                    <a:xfrm>
                      <a:off x="0" y="0"/>
                      <a:ext cx="5486400" cy="2348230"/>
                    </a:xfrm>
                    <a:prstGeom prst="rect">
                      <a:avLst/>
                    </a:prstGeom>
                  </pic:spPr>
                </pic:pic>
              </a:graphicData>
            </a:graphic>
          </wp:inline>
        </w:drawing>
      </w:r>
    </w:p>
    <w:p w14:paraId="259E3E7B" w14:textId="6D02154A" w:rsidR="00BA7E66" w:rsidRDefault="00800F81" w:rsidP="00800F81">
      <w:pPr>
        <w:pStyle w:val="Caption"/>
        <w:jc w:val="center"/>
      </w:pPr>
      <w:r>
        <w:t xml:space="preserve">Figure </w:t>
      </w:r>
      <w:r>
        <w:fldChar w:fldCharType="begin"/>
      </w:r>
      <w:r>
        <w:instrText xml:space="preserve"> SEQ Figure \* ARABIC </w:instrText>
      </w:r>
      <w:r>
        <w:fldChar w:fldCharType="separate"/>
      </w:r>
      <w:r w:rsidR="000D0763">
        <w:rPr>
          <w:noProof/>
        </w:rPr>
        <w:t>9</w:t>
      </w:r>
      <w:r>
        <w:fldChar w:fldCharType="end"/>
      </w:r>
      <w:r>
        <w:t xml:space="preserve">: </w:t>
      </w:r>
      <w:r w:rsidRPr="002C0F0F">
        <w:t>Example of SQL DELETE statement</w:t>
      </w:r>
    </w:p>
    <w:p w14:paraId="61A45FDD" w14:textId="4BCFB49B" w:rsidR="002539A0" w:rsidRDefault="00800F81" w:rsidP="002539A0">
      <w:pPr>
        <w:pStyle w:val="BodyText"/>
      </w:pPr>
      <w:r>
        <w:t>Users</w:t>
      </w:r>
      <w:r w:rsidR="002539A0">
        <w:t xml:space="preserve"> may insert data using parameter sql_condition_value1 on the Input tab or set it in the Pre-Process Script to the value of the artifact associated with thi</w:t>
      </w:r>
      <w:r>
        <w:t>s workflow as shown in Figure 4</w:t>
      </w:r>
      <w:r w:rsidR="002539A0">
        <w:t>.</w:t>
      </w:r>
    </w:p>
    <w:p w14:paraId="31B43276" w14:textId="3F218428" w:rsidR="000468FD" w:rsidRDefault="000468FD" w:rsidP="000468FD">
      <w:pPr>
        <w:pStyle w:val="BodyText"/>
      </w:pPr>
      <w:r>
        <w:t xml:space="preserve">A Menu Item rule called “Example ODBC </w:t>
      </w:r>
      <w:r>
        <w:t>DELETE</w:t>
      </w:r>
      <w:r>
        <w:t xml:space="preserve"> PostgreSQL” is also included. This rule calls the provided workflow.</w:t>
      </w:r>
    </w:p>
    <w:p w14:paraId="5A8E1A61" w14:textId="4FDDDCB5" w:rsidR="000468FD" w:rsidRDefault="000468FD" w:rsidP="000468FD">
      <w:pPr>
        <w:pStyle w:val="BodyText"/>
      </w:pPr>
      <w:r>
        <w:t>Users can click the Actions button and the above r</w:t>
      </w:r>
      <w:r w:rsidR="008D1306">
        <w:t>ule appears as shown in Figure 5</w:t>
      </w:r>
      <w:r>
        <w:t xml:space="preserve">. By clicking the menu item, the ODBC Query function is activated. The function will return number of </w:t>
      </w:r>
      <w:r w:rsidR="008D1306">
        <w:t xml:space="preserve">processed </w:t>
      </w:r>
      <w:r>
        <w:t xml:space="preserve">rows and display </w:t>
      </w:r>
      <w:r>
        <w:t>the</w:t>
      </w:r>
      <w:r>
        <w:t xml:space="preserve"> message in </w:t>
      </w:r>
      <w:r w:rsidR="008D1306">
        <w:t xml:space="preserve">the </w:t>
      </w:r>
      <w:r>
        <w:t>Action Status.</w:t>
      </w:r>
    </w:p>
    <w:p w14:paraId="42CC42B8" w14:textId="4CC68E0C" w:rsidR="000468FD" w:rsidRDefault="000468FD" w:rsidP="000468FD"/>
    <w:p w14:paraId="79894E96" w14:textId="77777777" w:rsidR="000468FD" w:rsidRDefault="000468FD">
      <w:pPr>
        <w:rPr>
          <w:rFonts w:asciiTheme="majorHAnsi" w:eastAsiaTheme="majorEastAsia" w:hAnsiTheme="majorHAnsi" w:cstheme="majorBidi"/>
          <w:i/>
          <w:iCs/>
          <w:color w:val="243F60" w:themeColor="accent1" w:themeShade="7F"/>
        </w:rPr>
      </w:pPr>
      <w:r>
        <w:br w:type="page"/>
      </w:r>
    </w:p>
    <w:p w14:paraId="02ACBDD2" w14:textId="3EFC8BBB" w:rsidR="000468FD" w:rsidRDefault="000468FD" w:rsidP="000468FD">
      <w:pPr>
        <w:pStyle w:val="Heading7"/>
      </w:pPr>
      <w:r w:rsidRPr="009824B2">
        <w:lastRenderedPageBreak/>
        <w:t xml:space="preserve">Example ODBC </w:t>
      </w:r>
      <w:r>
        <w:t>INSERT</w:t>
      </w:r>
      <w:r w:rsidRPr="009824B2">
        <w:t xml:space="preserve"> PostgreSQL</w:t>
      </w:r>
    </w:p>
    <w:p w14:paraId="1F616041" w14:textId="0D68F3D5" w:rsidR="000468FD" w:rsidRDefault="000468FD" w:rsidP="000468FD">
      <w:pPr>
        <w:pStyle w:val="BodyText"/>
      </w:pPr>
      <w:r w:rsidRPr="00030D58">
        <w:t>The example workflow (object type = Artif</w:t>
      </w:r>
      <w:r>
        <w:t xml:space="preserve">act) that calls this </w:t>
      </w:r>
      <w:r w:rsidRPr="009824B2">
        <w:t xml:space="preserve">function is “Example ODBC </w:t>
      </w:r>
      <w:r>
        <w:t>INSERT</w:t>
      </w:r>
      <w:r w:rsidRPr="009824B2">
        <w:t xml:space="preserve"> PostgreSQL”. The Input tab of this fu</w:t>
      </w:r>
      <w:r>
        <w:t>nction is shown in Figure</w:t>
      </w:r>
      <w:r>
        <w:t xml:space="preserve"> 9</w:t>
      </w:r>
      <w:r>
        <w:t xml:space="preserve">. </w:t>
      </w:r>
    </w:p>
    <w:p w14:paraId="632EF875" w14:textId="185E2267" w:rsidR="008D1306" w:rsidRDefault="008D1306" w:rsidP="008D1306">
      <w:pPr>
        <w:keepNext/>
      </w:pPr>
      <w:r>
        <w:rPr>
          <w:noProof/>
        </w:rPr>
        <w:drawing>
          <wp:inline distT="0" distB="0" distL="0" distR="0" wp14:anchorId="6E5A75FF" wp14:editId="2CDC8129">
            <wp:extent cx="5486400" cy="2225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0"/>
                    <a:stretch>
                      <a:fillRect/>
                    </a:stretch>
                  </pic:blipFill>
                  <pic:spPr>
                    <a:xfrm>
                      <a:off x="0" y="0"/>
                      <a:ext cx="5486400" cy="2225040"/>
                    </a:xfrm>
                    <a:prstGeom prst="rect">
                      <a:avLst/>
                    </a:prstGeom>
                  </pic:spPr>
                </pic:pic>
              </a:graphicData>
            </a:graphic>
          </wp:inline>
        </w:drawing>
      </w:r>
    </w:p>
    <w:p w14:paraId="33B0F239" w14:textId="6DCEDC00" w:rsidR="008D1306" w:rsidRDefault="008D1306" w:rsidP="008D1306">
      <w:pPr>
        <w:pStyle w:val="Caption"/>
        <w:jc w:val="center"/>
      </w:pPr>
      <w:r>
        <w:t xml:space="preserve">Figure </w:t>
      </w:r>
      <w:r>
        <w:fldChar w:fldCharType="begin"/>
      </w:r>
      <w:r>
        <w:instrText xml:space="preserve"> SEQ Figure \* ARABIC </w:instrText>
      </w:r>
      <w:r>
        <w:fldChar w:fldCharType="separate"/>
      </w:r>
      <w:r w:rsidR="000D0763">
        <w:rPr>
          <w:noProof/>
        </w:rPr>
        <w:t>10</w:t>
      </w:r>
      <w:r>
        <w:fldChar w:fldCharType="end"/>
      </w:r>
      <w:r>
        <w:t>:</w:t>
      </w:r>
      <w:r w:rsidRPr="00A813E8">
        <w:t xml:space="preserve"> Example of SQL INSERT statement</w:t>
      </w:r>
    </w:p>
    <w:p w14:paraId="0CDCFACE" w14:textId="68165BF9" w:rsidR="000468FD" w:rsidRDefault="008D1306" w:rsidP="000468FD">
      <w:pPr>
        <w:pStyle w:val="BodyText"/>
      </w:pPr>
      <w:r>
        <w:t>Users</w:t>
      </w:r>
      <w:r w:rsidR="000468FD">
        <w:t xml:space="preserve"> may insert data using parameter</w:t>
      </w:r>
      <w:r w:rsidR="00F540F4">
        <w:t>s</w:t>
      </w:r>
      <w:r w:rsidR="000468FD">
        <w:t xml:space="preserve"> </w:t>
      </w:r>
      <w:r w:rsidR="000468FD">
        <w:t>sql_condition_value1</w:t>
      </w:r>
      <w:r w:rsidR="000468FD">
        <w:t xml:space="preserve">, </w:t>
      </w:r>
      <w:r w:rsidR="000468FD">
        <w:t>sql_condi</w:t>
      </w:r>
      <w:r w:rsidR="000468FD">
        <w:t xml:space="preserve">tion_value2 and </w:t>
      </w:r>
      <w:r w:rsidR="000468FD">
        <w:t>sql_condi</w:t>
      </w:r>
      <w:r w:rsidR="000468FD">
        <w:t>tion_value3 on the Input tab</w:t>
      </w:r>
      <w:r>
        <w:t xml:space="preserve"> as shown in Figure 9 or set them</w:t>
      </w:r>
      <w:r w:rsidR="000468FD">
        <w:t xml:space="preserve"> i</w:t>
      </w:r>
      <w:r w:rsidR="000468FD">
        <w:t>n the Pre-Process Script to the value of the artifact associated with this workflow as shown in Figure 3.</w:t>
      </w:r>
    </w:p>
    <w:p w14:paraId="148E6A75" w14:textId="0D770798" w:rsidR="000468FD" w:rsidRDefault="000468FD" w:rsidP="000468FD">
      <w:pPr>
        <w:pStyle w:val="BodyText"/>
      </w:pPr>
      <w:r>
        <w:t xml:space="preserve">A Menu Item rule called “Example ODBC </w:t>
      </w:r>
      <w:r>
        <w:t>INSERT</w:t>
      </w:r>
      <w:r>
        <w:t xml:space="preserve"> PostgreSQL” is also included. This rule calls the provided workflow.</w:t>
      </w:r>
    </w:p>
    <w:p w14:paraId="3696D821" w14:textId="16DCA268" w:rsidR="000468FD" w:rsidRDefault="000468FD" w:rsidP="000468FD">
      <w:pPr>
        <w:pStyle w:val="BodyText"/>
      </w:pPr>
      <w:r>
        <w:t>Users can click the Actions button and the above r</w:t>
      </w:r>
      <w:r w:rsidR="008D1306">
        <w:t>ule appears as shown in Figure 5</w:t>
      </w:r>
      <w:r>
        <w:t xml:space="preserve">. By clicking the menu item, the ODBC Query function is activated. The function will return number of </w:t>
      </w:r>
      <w:r w:rsidR="000A70B4">
        <w:t xml:space="preserve">processed </w:t>
      </w:r>
      <w:r>
        <w:t xml:space="preserve">rows and display </w:t>
      </w:r>
      <w:r>
        <w:t>the</w:t>
      </w:r>
      <w:r>
        <w:t xml:space="preserve"> message in </w:t>
      </w:r>
      <w:r w:rsidR="000A70B4">
        <w:t xml:space="preserve">the </w:t>
      </w:r>
      <w:r>
        <w:t>Action Status.</w:t>
      </w:r>
    </w:p>
    <w:p w14:paraId="1C2206F7" w14:textId="77777777" w:rsidR="000468FD" w:rsidRPr="000468FD" w:rsidRDefault="000468FD" w:rsidP="000468FD"/>
    <w:p w14:paraId="1AFB38FE" w14:textId="77777777" w:rsidR="00EC4648" w:rsidRPr="00C951A3" w:rsidRDefault="00EC4648" w:rsidP="00EC4648">
      <w:pPr>
        <w:pStyle w:val="Heading10"/>
      </w:pPr>
      <w:bookmarkStart w:id="6" w:name="_Toc510253273"/>
      <w:bookmarkEnd w:id="4"/>
      <w:r w:rsidRPr="00C951A3">
        <w:t xml:space="preserve">Resilient </w:t>
      </w:r>
      <w:r>
        <w:t xml:space="preserve">Platform </w:t>
      </w:r>
      <w:r w:rsidRPr="00C951A3">
        <w:t>Configuration</w:t>
      </w:r>
    </w:p>
    <w:p w14:paraId="66111448" w14:textId="380172B9" w:rsidR="00EC4648" w:rsidRDefault="00EC4648">
      <w:pPr>
        <w:pStyle w:val="BodyText"/>
        <w:rPr>
          <w:rStyle w:val="IntenseEmphasis"/>
        </w:rPr>
      </w:pPr>
      <w:r w:rsidRPr="008F7B8A">
        <w:rPr>
          <w:rStyle w:val="IntenseEmphasis"/>
        </w:rPr>
        <w:t>&lt;</w:t>
      </w:r>
      <w:r>
        <w:rPr>
          <w:rStyle w:val="IntenseEmphasis"/>
        </w:rPr>
        <w:t>Only use this section if you have general configuration advice or requirements, such as describing i</w:t>
      </w:r>
      <w:r w:rsidRPr="008F7B8A">
        <w:rPr>
          <w:rStyle w:val="IntenseEmphasis"/>
        </w:rPr>
        <w:t xml:space="preserve">ssues </w:t>
      </w:r>
      <w:r>
        <w:rPr>
          <w:rStyle w:val="IntenseEmphasis"/>
        </w:rPr>
        <w:t xml:space="preserve">moving the configuration from a testing environment to a </w:t>
      </w:r>
      <w:r w:rsidRPr="008F7B8A">
        <w:rPr>
          <w:rStyle w:val="IntenseEmphasis"/>
        </w:rPr>
        <w:t>production</w:t>
      </w:r>
      <w:r>
        <w:rPr>
          <w:rStyle w:val="IntenseEmphasis"/>
        </w:rPr>
        <w:t xml:space="preserve"> environment.</w:t>
      </w:r>
      <w:r w:rsidRPr="008F7B8A">
        <w:rPr>
          <w:rStyle w:val="IntenseEmphasis"/>
        </w:rPr>
        <w:t xml:space="preserve"> Think about </w:t>
      </w:r>
      <w:r>
        <w:rPr>
          <w:rStyle w:val="IntenseEmphasis"/>
        </w:rPr>
        <w:t xml:space="preserve">the </w:t>
      </w:r>
      <w:r w:rsidRPr="008F7B8A">
        <w:rPr>
          <w:rStyle w:val="IntenseEmphasis"/>
        </w:rPr>
        <w:t xml:space="preserve">parameters </w:t>
      </w:r>
      <w:r>
        <w:rPr>
          <w:rStyle w:val="IntenseEmphasis"/>
        </w:rPr>
        <w:t>that</w:t>
      </w:r>
      <w:r w:rsidRPr="008F7B8A">
        <w:rPr>
          <w:rStyle w:val="IntenseEmphasis"/>
        </w:rPr>
        <w:t xml:space="preserve"> need to be modified per each customer’s environment.&gt;</w:t>
      </w:r>
    </w:p>
    <w:p w14:paraId="730AEA13" w14:textId="7A9C7133" w:rsidR="00421B92" w:rsidRDefault="00421B92">
      <w:pPr>
        <w:pStyle w:val="BodyText"/>
        <w:rPr>
          <w:rStyle w:val="IntenseEmphasis"/>
          <w:rFonts w:ascii="Calibri" w:eastAsia="Calibri" w:hAnsi="Calibri" w:cs="Calibri"/>
          <w:b/>
          <w:sz w:val="36"/>
          <w:szCs w:val="36"/>
        </w:rPr>
      </w:pPr>
      <w:r>
        <w:rPr>
          <w:rStyle w:val="IntenseEmphasis"/>
        </w:rPr>
        <w:t>&lt;If your function exports data tables or custom fields, the changes in the Resilient platform layouts may not be preserved. Therefore, you should document those changes in this section and advise the reader to manually make those changes in the platform.&gt;</w:t>
      </w:r>
    </w:p>
    <w:p w14:paraId="4681E99C" w14:textId="3DA32F14" w:rsidR="00EC4648" w:rsidRDefault="00EC4648" w:rsidP="009A711B">
      <w:pPr>
        <w:pStyle w:val="BodyText"/>
        <w:keepNext/>
        <w:rPr>
          <w:rStyle w:val="IntenseEmphasis"/>
        </w:rPr>
      </w:pPr>
      <w:r w:rsidRPr="008F7B8A">
        <w:rPr>
          <w:rStyle w:val="IntenseEmphasis"/>
        </w:rPr>
        <w:t>&lt;If there are scenarios of use which would help a customer understand how to use the Integration</w:t>
      </w:r>
      <w:r>
        <w:rPr>
          <w:rStyle w:val="IntenseEmphasis"/>
        </w:rPr>
        <w:t xml:space="preserve"> as a whole (not per function)</w:t>
      </w:r>
      <w:r w:rsidRPr="008F7B8A">
        <w:rPr>
          <w:rStyle w:val="IntenseEmphasis"/>
        </w:rPr>
        <w:t>, indicate them here.&gt;</w:t>
      </w:r>
    </w:p>
    <w:p w14:paraId="3851F7F2" w14:textId="4159DA0B" w:rsidR="00EC4648" w:rsidRPr="008F7B8A" w:rsidRDefault="00EC4648">
      <w:pPr>
        <w:pStyle w:val="BodyText"/>
        <w:rPr>
          <w:rStyle w:val="IntenseEmphasis"/>
        </w:rPr>
      </w:pPr>
      <w:r>
        <w:rPr>
          <w:rStyle w:val="IntenseEmphasis"/>
        </w:rPr>
        <w:t>&lt;If not needed, delete this section.&gt;</w:t>
      </w:r>
    </w:p>
    <w:p w14:paraId="50B3615E" w14:textId="77777777" w:rsidR="00C951A3" w:rsidRPr="00601DA7" w:rsidRDefault="00C951A3" w:rsidP="00537786">
      <w:pPr>
        <w:pStyle w:val="Heading10"/>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1">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2F0EA938" w14:textId="607E9F49" w:rsidR="00EC4648" w:rsidRPr="009A711B" w:rsidRDefault="00EC4648" w:rsidP="009A711B">
      <w:pPr>
        <w:pStyle w:val="Heading20"/>
        <w:rPr>
          <w:i/>
          <w:color w:val="4F81BD" w:themeColor="accent1"/>
        </w:rPr>
      </w:pPr>
      <w:r w:rsidRPr="009A711B">
        <w:rPr>
          <w:i/>
          <w:color w:val="4F81BD" w:themeColor="accent1"/>
        </w:rPr>
        <w:t>Documentation Guidelines</w:t>
      </w:r>
    </w:p>
    <w:p w14:paraId="503CD257" w14:textId="485E2E32" w:rsidR="00B94292" w:rsidRPr="009A711B" w:rsidRDefault="00B94292" w:rsidP="009A711B">
      <w:pPr>
        <w:pStyle w:val="BodyText"/>
        <w:keepNext/>
        <w:rPr>
          <w:i/>
          <w:color w:val="4F81BD" w:themeColor="accent1"/>
        </w:rPr>
      </w:pPr>
      <w:r w:rsidRPr="009A711B">
        <w:rPr>
          <w:i/>
          <w:color w:val="4F81BD" w:themeColor="accent1"/>
        </w:rPr>
        <w:t>&lt;Do NOT include this section in your guide.&gt;</w:t>
      </w:r>
    </w:p>
    <w:p w14:paraId="44E25E46" w14:textId="116E5197" w:rsidR="00EC4648" w:rsidRPr="009A711B" w:rsidRDefault="00B94292" w:rsidP="009A711B">
      <w:pPr>
        <w:pStyle w:val="BodyText"/>
        <w:keepNext/>
        <w:rPr>
          <w:i/>
          <w:color w:val="4F81BD" w:themeColor="accent1"/>
        </w:rPr>
      </w:pPr>
      <w:r w:rsidRPr="009A711B">
        <w:rPr>
          <w:i/>
          <w:color w:val="4F81BD" w:themeColor="accent1"/>
        </w:rPr>
        <w:t>Here are some writing guidelines:</w:t>
      </w:r>
    </w:p>
    <w:p w14:paraId="0DD953C9" w14:textId="77777777" w:rsidR="00FA2949" w:rsidRPr="009A711B" w:rsidRDefault="00FA2949" w:rsidP="009A711B">
      <w:pPr>
        <w:pStyle w:val="ListBullet"/>
        <w:rPr>
          <w:i/>
          <w:color w:val="4F81BD" w:themeColor="accent1"/>
        </w:rPr>
      </w:pPr>
      <w:r w:rsidRPr="009A711B">
        <w:rPr>
          <w:i/>
          <w:color w:val="4F81BD" w:themeColor="accent1"/>
        </w:rPr>
        <w:t>Never use “Resilient,” instead use “Resilient platform.”</w:t>
      </w:r>
    </w:p>
    <w:p w14:paraId="65701178" w14:textId="77777777" w:rsidR="00FA2949" w:rsidRPr="009A711B" w:rsidRDefault="00FA2949" w:rsidP="009A711B">
      <w:pPr>
        <w:pStyle w:val="ListBullet"/>
        <w:rPr>
          <w:i/>
          <w:color w:val="4F81BD" w:themeColor="accent1"/>
        </w:rPr>
      </w:pPr>
      <w:r w:rsidRPr="009A711B">
        <w:rPr>
          <w:i/>
          <w:color w:val="4F81BD" w:themeColor="accent1"/>
        </w:rPr>
        <w:t>Use “deploy to the Resilient platform” to describe the resilient-circuits customize command.</w:t>
      </w:r>
    </w:p>
    <w:p w14:paraId="175B256D" w14:textId="24978252" w:rsidR="00FA2949" w:rsidRPr="009A711B" w:rsidRDefault="00FA2949" w:rsidP="009A711B">
      <w:pPr>
        <w:pStyle w:val="ListBullet"/>
        <w:rPr>
          <w:i/>
          <w:color w:val="4F81BD" w:themeColor="accent1"/>
        </w:rPr>
      </w:pPr>
      <w:r w:rsidRPr="009A711B">
        <w:rPr>
          <w:i/>
          <w:color w:val="4F81BD" w:themeColor="accent1"/>
        </w:rPr>
        <w:t>Do not initial cap function, workflow, etc. unless you are referring to a specific item</w:t>
      </w:r>
      <w:r w:rsidR="00707349" w:rsidRPr="009A711B">
        <w:rPr>
          <w:i/>
          <w:color w:val="4F81BD" w:themeColor="accent1"/>
        </w:rPr>
        <w:t xml:space="preserve"> (proper name), such as Utilities Function</w:t>
      </w:r>
      <w:r w:rsidRPr="009A711B">
        <w:rPr>
          <w:i/>
          <w:color w:val="4F81BD" w:themeColor="accent1"/>
        </w:rPr>
        <w:t>.</w:t>
      </w:r>
    </w:p>
    <w:p w14:paraId="1EB7919A" w14:textId="46D208F8" w:rsidR="00FA2949" w:rsidRPr="009A711B" w:rsidRDefault="00FA2949" w:rsidP="009A711B">
      <w:pPr>
        <w:pStyle w:val="ListBullet"/>
        <w:rPr>
          <w:i/>
          <w:color w:val="4F81BD" w:themeColor="accent1"/>
        </w:rPr>
      </w:pPr>
      <w:r w:rsidRPr="009A711B">
        <w:rPr>
          <w:i/>
          <w:color w:val="4F81BD" w:themeColor="accent1"/>
        </w:rPr>
        <w:t>Try to avoid passive voice and future tense</w:t>
      </w:r>
      <w:r w:rsidR="00707349" w:rsidRPr="009A711B">
        <w:rPr>
          <w:i/>
          <w:color w:val="4F81BD" w:themeColor="accent1"/>
        </w:rPr>
        <w:t>.</w:t>
      </w:r>
    </w:p>
    <w:p w14:paraId="035993F8" w14:textId="636F5BE7" w:rsidR="00FA2949" w:rsidRPr="009A711B" w:rsidRDefault="00707349" w:rsidP="009A711B">
      <w:pPr>
        <w:pStyle w:val="ListBullet"/>
        <w:rPr>
          <w:i/>
          <w:color w:val="4F81BD" w:themeColor="accent1"/>
        </w:rPr>
      </w:pPr>
      <w:r w:rsidRPr="009A711B">
        <w:rPr>
          <w:i/>
          <w:color w:val="4F81BD" w:themeColor="accent1"/>
        </w:rPr>
        <w:t xml:space="preserve">For the guide’s file name, use this format: </w:t>
      </w:r>
      <w:r w:rsidR="00FA2949" w:rsidRPr="009A711B">
        <w:rPr>
          <w:i/>
          <w:color w:val="4F81BD" w:themeColor="accent1"/>
        </w:rPr>
        <w:t>Resilient Integration &lt;name&gt; Function</w:t>
      </w:r>
    </w:p>
    <w:p w14:paraId="52E1C5F3" w14:textId="77777777" w:rsidR="00707349" w:rsidRPr="009A711B" w:rsidRDefault="00707349" w:rsidP="009A711B">
      <w:pPr>
        <w:pStyle w:val="ListBullet"/>
        <w:rPr>
          <w:i/>
          <w:color w:val="4F81BD" w:themeColor="accent1"/>
        </w:rPr>
      </w:pPr>
      <w:r w:rsidRPr="009A711B">
        <w:rPr>
          <w:i/>
          <w:color w:val="4F81BD" w:themeColor="accent1"/>
        </w:rPr>
        <w:t>In the Word file, open properties and make these changes:</w:t>
      </w:r>
    </w:p>
    <w:p w14:paraId="2EB6A3DC" w14:textId="77777777" w:rsidR="00707349" w:rsidRPr="009A711B" w:rsidRDefault="00707349" w:rsidP="009A711B">
      <w:pPr>
        <w:pStyle w:val="ListBullet"/>
        <w:numPr>
          <w:ilvl w:val="1"/>
          <w:numId w:val="15"/>
        </w:numPr>
        <w:ind w:left="720"/>
        <w:rPr>
          <w:i/>
          <w:color w:val="4F81BD" w:themeColor="accent1"/>
        </w:rPr>
      </w:pPr>
      <w:r w:rsidRPr="009A711B">
        <w:rPr>
          <w:i/>
          <w:color w:val="4F81BD" w:themeColor="accent1"/>
        </w:rPr>
        <w:t>Owner = IBM Resilient</w:t>
      </w:r>
    </w:p>
    <w:p w14:paraId="79CEFF9C" w14:textId="5AE8FEBE" w:rsidR="00707349" w:rsidRPr="009A711B" w:rsidRDefault="00707349" w:rsidP="009A711B">
      <w:pPr>
        <w:pStyle w:val="ListBullet"/>
        <w:numPr>
          <w:ilvl w:val="1"/>
          <w:numId w:val="15"/>
        </w:numPr>
        <w:ind w:left="720"/>
        <w:rPr>
          <w:i/>
          <w:color w:val="4F81BD" w:themeColor="accent1"/>
        </w:rPr>
      </w:pPr>
      <w:r w:rsidRPr="009A711B">
        <w:rPr>
          <w:i/>
          <w:color w:val="4F81BD" w:themeColor="accent1"/>
        </w:rPr>
        <w:t>Title = Resilient IRP Integrations &lt;name&gt; Function Guide</w:t>
      </w:r>
    </w:p>
    <w:p w14:paraId="50FA2FE1" w14:textId="77777777" w:rsidR="00AC5E54" w:rsidRPr="009A711B" w:rsidRDefault="00AC5E54" w:rsidP="009A711B">
      <w:pPr>
        <w:pStyle w:val="BodyText"/>
        <w:rPr>
          <w:i/>
          <w:color w:val="4F81BD" w:themeColor="accent1"/>
        </w:rPr>
      </w:pPr>
      <w:r w:rsidRPr="009A711B">
        <w:rPr>
          <w:i/>
          <w:color w:val="4F81BD" w:themeColor="accent1"/>
        </w:rPr>
        <w:t xml:space="preserve">If you don’t know how to open </w:t>
      </w:r>
      <w:r w:rsidR="00707349" w:rsidRPr="009A711B">
        <w:rPr>
          <w:i/>
          <w:color w:val="4F81BD" w:themeColor="accent1"/>
        </w:rPr>
        <w:t>properties</w:t>
      </w:r>
      <w:r w:rsidRPr="009A711B">
        <w:rPr>
          <w:i/>
          <w:color w:val="4F81BD" w:themeColor="accent1"/>
        </w:rPr>
        <w:t>:</w:t>
      </w:r>
    </w:p>
    <w:p w14:paraId="66305C2D" w14:textId="77777777" w:rsidR="00AC5E54" w:rsidRPr="009A711B" w:rsidRDefault="00AC5E54" w:rsidP="009A711B">
      <w:pPr>
        <w:pStyle w:val="BodyText"/>
        <w:numPr>
          <w:ilvl w:val="0"/>
          <w:numId w:val="29"/>
        </w:numPr>
        <w:rPr>
          <w:i/>
          <w:color w:val="4F81BD" w:themeColor="accent1"/>
        </w:rPr>
      </w:pPr>
      <w:r w:rsidRPr="009A711B">
        <w:rPr>
          <w:i/>
          <w:color w:val="4F81BD" w:themeColor="accent1"/>
        </w:rPr>
        <w:t xml:space="preserve">Click </w:t>
      </w:r>
      <w:r w:rsidR="00707349" w:rsidRPr="009A711B">
        <w:rPr>
          <w:b/>
          <w:i/>
          <w:color w:val="4F81BD" w:themeColor="accent1"/>
        </w:rPr>
        <w:t>File &gt; Info</w:t>
      </w:r>
      <w:r w:rsidRPr="009A711B">
        <w:rPr>
          <w:i/>
          <w:color w:val="4F81BD" w:themeColor="accent1"/>
        </w:rPr>
        <w:t>.</w:t>
      </w:r>
    </w:p>
    <w:p w14:paraId="474238CD" w14:textId="6F75694C" w:rsidR="00AC5E54" w:rsidRPr="009A711B" w:rsidRDefault="00AC5E54" w:rsidP="009A711B">
      <w:pPr>
        <w:pStyle w:val="BodyText"/>
        <w:numPr>
          <w:ilvl w:val="0"/>
          <w:numId w:val="29"/>
        </w:numPr>
        <w:rPr>
          <w:i/>
          <w:color w:val="4F81BD" w:themeColor="accent1"/>
        </w:rPr>
      </w:pPr>
      <w:r w:rsidRPr="009A711B">
        <w:rPr>
          <w:i/>
          <w:color w:val="4F81BD" w:themeColor="accent1"/>
        </w:rPr>
        <w:t xml:space="preserve">On the right side of the Info page, click the </w:t>
      </w:r>
      <w:r w:rsidRPr="009A711B">
        <w:rPr>
          <w:b/>
          <w:i/>
          <w:color w:val="4F81BD" w:themeColor="accent1"/>
        </w:rPr>
        <w:t>Properties</w:t>
      </w:r>
      <w:r w:rsidRPr="009A711B">
        <w:rPr>
          <w:i/>
          <w:color w:val="4F81BD" w:themeColor="accent1"/>
        </w:rPr>
        <w:t xml:space="preserve"> drop-down and select </w:t>
      </w:r>
      <w:r w:rsidRPr="009A711B">
        <w:rPr>
          <w:b/>
          <w:i/>
          <w:color w:val="4F81BD" w:themeColor="accent1"/>
        </w:rPr>
        <w:t>Show Document Panel</w:t>
      </w:r>
      <w:r w:rsidRPr="009A711B">
        <w:rPr>
          <w:i/>
          <w:color w:val="4F81BD" w:themeColor="accent1"/>
        </w:rPr>
        <w:t>. This shows the Document Properties with the Author and Title fields.</w:t>
      </w:r>
    </w:p>
    <w:p w14:paraId="601EFECA" w14:textId="77777777" w:rsidR="00B94292" w:rsidRPr="009A711B" w:rsidRDefault="00B94292">
      <w:pPr>
        <w:pStyle w:val="BodyText"/>
        <w:rPr>
          <w:i/>
          <w:color w:val="4F81BD" w:themeColor="accent1"/>
        </w:rPr>
      </w:pPr>
    </w:p>
    <w:sectPr w:rsidR="00B94292" w:rsidRPr="009A711B" w:rsidSect="00AC02E1">
      <w:headerReference w:type="even" r:id="rId22"/>
      <w:headerReference w:type="default" r:id="rId23"/>
      <w:footerReference w:type="even" r:id="rId24"/>
      <w:footerReference w:type="default" r:id="rId25"/>
      <w:headerReference w:type="first" r:id="rId26"/>
      <w:footerReference w:type="first" r:id="rId27"/>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4F86D" w14:textId="77777777" w:rsidR="007E6AC0" w:rsidRDefault="007E6AC0">
      <w:r>
        <w:separator/>
      </w:r>
    </w:p>
  </w:endnote>
  <w:endnote w:type="continuationSeparator" w:id="0">
    <w:p w14:paraId="592100F2" w14:textId="77777777" w:rsidR="007E6AC0" w:rsidRDefault="007E6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9520A" w14:textId="77777777" w:rsidR="007E6AC0" w:rsidRDefault="007E6AC0">
      <w:r>
        <w:separator/>
      </w:r>
    </w:p>
  </w:footnote>
  <w:footnote w:type="continuationSeparator" w:id="0">
    <w:p w14:paraId="0FD8C98F" w14:textId="77777777" w:rsidR="007E6AC0" w:rsidRDefault="007E6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
  </w:num>
  <w:num w:numId="4">
    <w:abstractNumId w:val="21"/>
  </w:num>
  <w:num w:numId="5">
    <w:abstractNumId w:val="23"/>
  </w:num>
  <w:num w:numId="6">
    <w:abstractNumId w:val="8"/>
  </w:num>
  <w:num w:numId="7">
    <w:abstractNumId w:val="18"/>
  </w:num>
  <w:num w:numId="8">
    <w:abstractNumId w:val="5"/>
  </w:num>
  <w:num w:numId="9">
    <w:abstractNumId w:val="19"/>
  </w:num>
  <w:num w:numId="10">
    <w:abstractNumId w:val="12"/>
  </w:num>
  <w:num w:numId="11">
    <w:abstractNumId w:val="6"/>
  </w:num>
  <w:num w:numId="12">
    <w:abstractNumId w:val="17"/>
  </w:num>
  <w:num w:numId="13">
    <w:abstractNumId w:val="24"/>
  </w:num>
  <w:num w:numId="14">
    <w:abstractNumId w:val="10"/>
  </w:num>
  <w:num w:numId="15">
    <w:abstractNumId w:val="20"/>
  </w:num>
  <w:num w:numId="16">
    <w:abstractNumId w:val="0"/>
  </w:num>
  <w:num w:numId="17">
    <w:abstractNumId w:val="4"/>
  </w:num>
  <w:num w:numId="18">
    <w:abstractNumId w:val="20"/>
  </w:num>
  <w:num w:numId="19">
    <w:abstractNumId w:val="20"/>
  </w:num>
  <w:num w:numId="20">
    <w:abstractNumId w:val="20"/>
  </w:num>
  <w:num w:numId="21">
    <w:abstractNumId w:val="20"/>
  </w:num>
  <w:num w:numId="22">
    <w:abstractNumId w:val="20"/>
  </w:num>
  <w:num w:numId="23">
    <w:abstractNumId w:val="11"/>
  </w:num>
  <w:num w:numId="24">
    <w:abstractNumId w:val="3"/>
  </w:num>
  <w:num w:numId="25">
    <w:abstractNumId w:val="13"/>
  </w:num>
  <w:num w:numId="26">
    <w:abstractNumId w:val="7"/>
  </w:num>
  <w:num w:numId="27">
    <w:abstractNumId w:val="15"/>
  </w:num>
  <w:num w:numId="28">
    <w:abstractNumId w:val="1"/>
  </w:num>
  <w:num w:numId="29">
    <w:abstractNumId w:val="16"/>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23089"/>
    <w:rsid w:val="000265E5"/>
    <w:rsid w:val="00030D58"/>
    <w:rsid w:val="000468FD"/>
    <w:rsid w:val="00067589"/>
    <w:rsid w:val="00085AB1"/>
    <w:rsid w:val="000964E8"/>
    <w:rsid w:val="00097C36"/>
    <w:rsid w:val="000A059F"/>
    <w:rsid w:val="000A3F06"/>
    <w:rsid w:val="000A70B4"/>
    <w:rsid w:val="000A79F3"/>
    <w:rsid w:val="000B0A15"/>
    <w:rsid w:val="000B487D"/>
    <w:rsid w:val="000C41D1"/>
    <w:rsid w:val="000C569C"/>
    <w:rsid w:val="000D0763"/>
    <w:rsid w:val="000D13A5"/>
    <w:rsid w:val="000D7077"/>
    <w:rsid w:val="000E2781"/>
    <w:rsid w:val="000E3893"/>
    <w:rsid w:val="000F3B7D"/>
    <w:rsid w:val="000F5544"/>
    <w:rsid w:val="0010379D"/>
    <w:rsid w:val="00131A3E"/>
    <w:rsid w:val="0013762E"/>
    <w:rsid w:val="00144B78"/>
    <w:rsid w:val="0014545E"/>
    <w:rsid w:val="00154F8C"/>
    <w:rsid w:val="00171F46"/>
    <w:rsid w:val="0017358A"/>
    <w:rsid w:val="00174021"/>
    <w:rsid w:val="00182D7C"/>
    <w:rsid w:val="001941C1"/>
    <w:rsid w:val="001B086B"/>
    <w:rsid w:val="001C3E34"/>
    <w:rsid w:val="001C529E"/>
    <w:rsid w:val="001C730F"/>
    <w:rsid w:val="001C745C"/>
    <w:rsid w:val="001D7DD5"/>
    <w:rsid w:val="001E4F55"/>
    <w:rsid w:val="001F6AD0"/>
    <w:rsid w:val="001F76F9"/>
    <w:rsid w:val="00221B38"/>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D6C32"/>
    <w:rsid w:val="002D758C"/>
    <w:rsid w:val="002F1AF6"/>
    <w:rsid w:val="00300958"/>
    <w:rsid w:val="0030433E"/>
    <w:rsid w:val="00304962"/>
    <w:rsid w:val="00322790"/>
    <w:rsid w:val="00330231"/>
    <w:rsid w:val="003312EE"/>
    <w:rsid w:val="00340F9F"/>
    <w:rsid w:val="003576AE"/>
    <w:rsid w:val="0037127E"/>
    <w:rsid w:val="00377074"/>
    <w:rsid w:val="003A3728"/>
    <w:rsid w:val="003C039E"/>
    <w:rsid w:val="003C341C"/>
    <w:rsid w:val="003C446B"/>
    <w:rsid w:val="003D1439"/>
    <w:rsid w:val="003D337E"/>
    <w:rsid w:val="00402FBC"/>
    <w:rsid w:val="00410E88"/>
    <w:rsid w:val="00411ED8"/>
    <w:rsid w:val="00416FB3"/>
    <w:rsid w:val="00421B92"/>
    <w:rsid w:val="00427E12"/>
    <w:rsid w:val="00465106"/>
    <w:rsid w:val="004737AC"/>
    <w:rsid w:val="004762FF"/>
    <w:rsid w:val="004865E2"/>
    <w:rsid w:val="00487DE5"/>
    <w:rsid w:val="004B43CC"/>
    <w:rsid w:val="004D4BA3"/>
    <w:rsid w:val="004F6CA4"/>
    <w:rsid w:val="00507B72"/>
    <w:rsid w:val="00512874"/>
    <w:rsid w:val="00521C91"/>
    <w:rsid w:val="00524DA5"/>
    <w:rsid w:val="00530E89"/>
    <w:rsid w:val="005347F3"/>
    <w:rsid w:val="00537786"/>
    <w:rsid w:val="00541667"/>
    <w:rsid w:val="005463E6"/>
    <w:rsid w:val="00564EE3"/>
    <w:rsid w:val="005736C8"/>
    <w:rsid w:val="00576010"/>
    <w:rsid w:val="00577ABA"/>
    <w:rsid w:val="005910DF"/>
    <w:rsid w:val="005913A4"/>
    <w:rsid w:val="00591526"/>
    <w:rsid w:val="005A2F5E"/>
    <w:rsid w:val="005B2FB3"/>
    <w:rsid w:val="005C25D9"/>
    <w:rsid w:val="005C3FDE"/>
    <w:rsid w:val="005C4FB2"/>
    <w:rsid w:val="005D1DBF"/>
    <w:rsid w:val="005E11FD"/>
    <w:rsid w:val="005F1319"/>
    <w:rsid w:val="00617DC3"/>
    <w:rsid w:val="00622DFB"/>
    <w:rsid w:val="00622FC1"/>
    <w:rsid w:val="00623A24"/>
    <w:rsid w:val="00653591"/>
    <w:rsid w:val="00655429"/>
    <w:rsid w:val="00657D64"/>
    <w:rsid w:val="006609E6"/>
    <w:rsid w:val="00662ABF"/>
    <w:rsid w:val="00681205"/>
    <w:rsid w:val="006B52CC"/>
    <w:rsid w:val="006C6AAB"/>
    <w:rsid w:val="006D5546"/>
    <w:rsid w:val="006D5CCF"/>
    <w:rsid w:val="006E43E8"/>
    <w:rsid w:val="006F1CDA"/>
    <w:rsid w:val="006F6EBB"/>
    <w:rsid w:val="00704ACA"/>
    <w:rsid w:val="00706FDA"/>
    <w:rsid w:val="00707349"/>
    <w:rsid w:val="00715805"/>
    <w:rsid w:val="00717FA9"/>
    <w:rsid w:val="00723252"/>
    <w:rsid w:val="007254EA"/>
    <w:rsid w:val="007346C6"/>
    <w:rsid w:val="00753DC6"/>
    <w:rsid w:val="00754549"/>
    <w:rsid w:val="00762A32"/>
    <w:rsid w:val="007744AC"/>
    <w:rsid w:val="0078088F"/>
    <w:rsid w:val="00790D0A"/>
    <w:rsid w:val="007A3DBC"/>
    <w:rsid w:val="007B3B76"/>
    <w:rsid w:val="007D7B5C"/>
    <w:rsid w:val="007E4B7B"/>
    <w:rsid w:val="007E6AC0"/>
    <w:rsid w:val="00800F81"/>
    <w:rsid w:val="00802DF4"/>
    <w:rsid w:val="00804B72"/>
    <w:rsid w:val="00814A14"/>
    <w:rsid w:val="00816EA8"/>
    <w:rsid w:val="00833879"/>
    <w:rsid w:val="0083469A"/>
    <w:rsid w:val="00842EEE"/>
    <w:rsid w:val="008434CF"/>
    <w:rsid w:val="00863C95"/>
    <w:rsid w:val="00866DA4"/>
    <w:rsid w:val="008717DC"/>
    <w:rsid w:val="00872279"/>
    <w:rsid w:val="00874713"/>
    <w:rsid w:val="00877C21"/>
    <w:rsid w:val="008A050B"/>
    <w:rsid w:val="008A31F5"/>
    <w:rsid w:val="008B73D2"/>
    <w:rsid w:val="008D1306"/>
    <w:rsid w:val="008D2369"/>
    <w:rsid w:val="008D427F"/>
    <w:rsid w:val="008D7A7F"/>
    <w:rsid w:val="008E4C05"/>
    <w:rsid w:val="008E5CC4"/>
    <w:rsid w:val="008F4E84"/>
    <w:rsid w:val="008F7B8A"/>
    <w:rsid w:val="00905258"/>
    <w:rsid w:val="009077EB"/>
    <w:rsid w:val="00911633"/>
    <w:rsid w:val="00911649"/>
    <w:rsid w:val="0091484A"/>
    <w:rsid w:val="0091653F"/>
    <w:rsid w:val="00960404"/>
    <w:rsid w:val="009612E6"/>
    <w:rsid w:val="00973236"/>
    <w:rsid w:val="009737CF"/>
    <w:rsid w:val="009824B2"/>
    <w:rsid w:val="009A2406"/>
    <w:rsid w:val="009A711B"/>
    <w:rsid w:val="009B341F"/>
    <w:rsid w:val="009C6B7B"/>
    <w:rsid w:val="009D639D"/>
    <w:rsid w:val="009E19B0"/>
    <w:rsid w:val="009E2819"/>
    <w:rsid w:val="009F6C2A"/>
    <w:rsid w:val="00A161A6"/>
    <w:rsid w:val="00A45E58"/>
    <w:rsid w:val="00A625F3"/>
    <w:rsid w:val="00A63B0A"/>
    <w:rsid w:val="00A64DAE"/>
    <w:rsid w:val="00A64F6E"/>
    <w:rsid w:val="00A65FED"/>
    <w:rsid w:val="00A71A39"/>
    <w:rsid w:val="00A7247E"/>
    <w:rsid w:val="00A752FC"/>
    <w:rsid w:val="00A94618"/>
    <w:rsid w:val="00AA0158"/>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A612C"/>
    <w:rsid w:val="00BA7E66"/>
    <w:rsid w:val="00BC340E"/>
    <w:rsid w:val="00BC7548"/>
    <w:rsid w:val="00BD080D"/>
    <w:rsid w:val="00BD235A"/>
    <w:rsid w:val="00BD63CB"/>
    <w:rsid w:val="00C02368"/>
    <w:rsid w:val="00C0546B"/>
    <w:rsid w:val="00C07E76"/>
    <w:rsid w:val="00C13E76"/>
    <w:rsid w:val="00C207D7"/>
    <w:rsid w:val="00C24305"/>
    <w:rsid w:val="00C25D91"/>
    <w:rsid w:val="00C35742"/>
    <w:rsid w:val="00C40E68"/>
    <w:rsid w:val="00C432D0"/>
    <w:rsid w:val="00C542CC"/>
    <w:rsid w:val="00C772DD"/>
    <w:rsid w:val="00C80D30"/>
    <w:rsid w:val="00C951A3"/>
    <w:rsid w:val="00CA23B7"/>
    <w:rsid w:val="00CA7C02"/>
    <w:rsid w:val="00CB0BFE"/>
    <w:rsid w:val="00CB3883"/>
    <w:rsid w:val="00CC01C7"/>
    <w:rsid w:val="00CC727F"/>
    <w:rsid w:val="00CD67F5"/>
    <w:rsid w:val="00CE1431"/>
    <w:rsid w:val="00CE4850"/>
    <w:rsid w:val="00CE49E6"/>
    <w:rsid w:val="00CF0DBA"/>
    <w:rsid w:val="00D179B8"/>
    <w:rsid w:val="00D239BD"/>
    <w:rsid w:val="00D340FE"/>
    <w:rsid w:val="00D43003"/>
    <w:rsid w:val="00D54F85"/>
    <w:rsid w:val="00D83674"/>
    <w:rsid w:val="00D85EFC"/>
    <w:rsid w:val="00D9114A"/>
    <w:rsid w:val="00D911DE"/>
    <w:rsid w:val="00D975A6"/>
    <w:rsid w:val="00DB705D"/>
    <w:rsid w:val="00DB705E"/>
    <w:rsid w:val="00DB723F"/>
    <w:rsid w:val="00DD1C53"/>
    <w:rsid w:val="00E0547E"/>
    <w:rsid w:val="00E05614"/>
    <w:rsid w:val="00E32539"/>
    <w:rsid w:val="00E3310F"/>
    <w:rsid w:val="00E41A7D"/>
    <w:rsid w:val="00E44BC6"/>
    <w:rsid w:val="00E5206D"/>
    <w:rsid w:val="00E66222"/>
    <w:rsid w:val="00E71463"/>
    <w:rsid w:val="00E84C6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143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styleId="UnresolvedMention">
    <w:name w:val="Unresolved Mention"/>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semiHidden/>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support@resilientsystem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www.connectionstrings.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37084-75B5-0E46-98F6-D7FEE7764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Resilient Systems</Company>
  <LinksUpToDate>false</LinksUpToDate>
  <CharactersWithSpaces>16217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Tamara Zlender</cp:lastModifiedBy>
  <cp:revision>30</cp:revision>
  <cp:lastPrinted>2018-04-09T16:01:00Z</cp:lastPrinted>
  <dcterms:created xsi:type="dcterms:W3CDTF">2018-05-24T13:56:00Z</dcterms:created>
  <dcterms:modified xsi:type="dcterms:W3CDTF">2018-05-25T20:26:00Z</dcterms:modified>
</cp:coreProperties>
</file>